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9186" w:tblpY="1645"/>
        <w:tblOverlap w:val="never"/>
        <w:tblW w:w="2484" w:type="dxa"/>
        <w:tblCellMar>
          <w:left w:w="0" w:type="dxa"/>
        </w:tblCellMar>
        <w:tblLook w:val="01E0" w:firstRow="1" w:lastRow="1" w:firstColumn="1" w:lastColumn="1" w:noHBand="0" w:noVBand="0"/>
      </w:tblPr>
      <w:tblGrid>
        <w:gridCol w:w="2484"/>
      </w:tblGrid>
      <w:tr w:rsidR="00596D81" w:rsidRPr="007D1FCB" w:rsidTr="002164D4">
        <w:trPr>
          <w:trHeight w:val="3129"/>
        </w:trPr>
        <w:tc>
          <w:tcPr>
            <w:tcW w:w="2484" w:type="dxa"/>
          </w:tcPr>
          <w:p w:rsidR="00481547" w:rsidRPr="00204BD9" w:rsidRDefault="00481547" w:rsidP="002164D4">
            <w:pPr>
              <w:pStyle w:val="Departementtekst"/>
              <w:spacing w:after="0"/>
              <w:ind w:right="-108"/>
              <w:rPr>
                <w:rFonts w:ascii="Calibri" w:hAnsi="Calibri" w:cs="Calibri"/>
                <w:sz w:val="18"/>
                <w:szCs w:val="18"/>
              </w:rPr>
            </w:pPr>
          </w:p>
          <w:p w:rsidR="00481547" w:rsidRPr="00204BD9" w:rsidRDefault="00481547" w:rsidP="00675483">
            <w:pPr>
              <w:pStyle w:val="Departementtekst"/>
              <w:spacing w:after="0"/>
              <w:ind w:right="-108"/>
              <w:rPr>
                <w:rFonts w:ascii="Calibri" w:hAnsi="Calibri" w:cs="Calibri"/>
                <w:sz w:val="18"/>
                <w:szCs w:val="18"/>
              </w:rPr>
            </w:pPr>
          </w:p>
          <w:p w:rsidR="00675483" w:rsidRPr="00204BD9" w:rsidRDefault="00675483" w:rsidP="0079590A">
            <w:pPr>
              <w:jc w:val="left"/>
              <w:rPr>
                <w:rFonts w:ascii="Calibri" w:hAnsi="Calibri" w:cs="Calibri"/>
                <w:sz w:val="18"/>
                <w:szCs w:val="18"/>
              </w:rPr>
            </w:pPr>
          </w:p>
          <w:p w:rsidR="00675483" w:rsidRDefault="00675483" w:rsidP="00675483">
            <w:pPr>
              <w:jc w:val="left"/>
              <w:rPr>
                <w:rFonts w:ascii="Calibri" w:hAnsi="Calibri" w:cs="Calibri"/>
                <w:bCs/>
                <w:sz w:val="18"/>
                <w:szCs w:val="18"/>
                <w:lang w:eastAsia="da-DK"/>
              </w:rPr>
            </w:pPr>
            <w:r w:rsidRPr="00204BD9">
              <w:rPr>
                <w:rFonts w:ascii="Calibri" w:hAnsi="Calibri" w:cs="Calibri"/>
                <w:bCs/>
                <w:sz w:val="18"/>
                <w:szCs w:val="18"/>
                <w:lang w:eastAsia="da-DK"/>
              </w:rPr>
              <w:t xml:space="preserve">J.nr. </w:t>
            </w:r>
            <w:bookmarkStart w:id="0" w:name="sagsnr"/>
            <w:bookmarkEnd w:id="0"/>
            <w:r w:rsidR="009D37A0">
              <w:rPr>
                <w:rFonts w:ascii="Calibri" w:hAnsi="Calibri" w:cs="Calibri"/>
                <w:bCs/>
                <w:sz w:val="18"/>
                <w:szCs w:val="18"/>
                <w:lang w:eastAsia="da-DK"/>
              </w:rPr>
              <w:t>13-</w:t>
            </w:r>
            <w:proofErr w:type="gramStart"/>
            <w:r w:rsidR="009D37A0">
              <w:rPr>
                <w:rFonts w:ascii="Calibri" w:hAnsi="Calibri" w:cs="Calibri"/>
                <w:bCs/>
                <w:sz w:val="18"/>
                <w:szCs w:val="18"/>
                <w:lang w:eastAsia="da-DK"/>
              </w:rPr>
              <w:t>5380634</w:t>
            </w:r>
            <w:proofErr w:type="gramEnd"/>
          </w:p>
          <w:p w:rsidR="00675483" w:rsidRPr="00204BD9" w:rsidRDefault="00AB73C8" w:rsidP="00675483">
            <w:pPr>
              <w:jc w:val="left"/>
              <w:rPr>
                <w:rFonts w:ascii="Calibri" w:hAnsi="Calibri" w:cs="Calibri"/>
                <w:bCs/>
                <w:sz w:val="18"/>
                <w:szCs w:val="18"/>
                <w:lang w:eastAsia="da-DK"/>
              </w:rPr>
            </w:pPr>
            <w:r>
              <w:rPr>
                <w:rFonts w:ascii="Calibri" w:hAnsi="Calibri" w:cs="Calibri"/>
                <w:bCs/>
                <w:sz w:val="18"/>
                <w:szCs w:val="18"/>
                <w:lang w:eastAsia="da-DK"/>
              </w:rPr>
              <w:t xml:space="preserve">Den </w:t>
            </w:r>
            <w:r w:rsidR="00381F0A">
              <w:rPr>
                <w:rFonts w:ascii="Calibri" w:hAnsi="Calibri" w:cs="Calibri"/>
                <w:bCs/>
                <w:sz w:val="18"/>
                <w:szCs w:val="18"/>
                <w:lang w:eastAsia="da-DK"/>
              </w:rPr>
              <w:t>5. december 2013</w:t>
            </w:r>
          </w:p>
          <w:p w:rsidR="00675483" w:rsidRPr="0027722C" w:rsidRDefault="00675483" w:rsidP="00675483">
            <w:pPr>
              <w:jc w:val="left"/>
              <w:rPr>
                <w:rFonts w:ascii="Calibri" w:hAnsi="Calibri" w:cs="Calibri"/>
                <w:bCs/>
                <w:sz w:val="18"/>
                <w:szCs w:val="18"/>
                <w:lang w:eastAsia="da-DK"/>
              </w:rPr>
            </w:pPr>
          </w:p>
          <w:p w:rsidR="00675483" w:rsidRPr="0027722C" w:rsidRDefault="00675483" w:rsidP="00675483">
            <w:pPr>
              <w:rPr>
                <w:rFonts w:ascii="Calibri" w:hAnsi="Calibri" w:cs="Calibri"/>
                <w:bCs/>
                <w:sz w:val="18"/>
                <w:szCs w:val="18"/>
                <w:lang w:eastAsia="da-DK"/>
              </w:rPr>
            </w:pPr>
          </w:p>
          <w:p w:rsidR="00F971D6" w:rsidRPr="007D1FCB" w:rsidRDefault="00F971D6" w:rsidP="00F971D6">
            <w:pPr>
              <w:pStyle w:val="Departementtekst"/>
              <w:rPr>
                <w:rFonts w:ascii="Calibri" w:hAnsi="Calibri" w:cs="Calibri"/>
                <w:sz w:val="18"/>
                <w:szCs w:val="18"/>
              </w:rPr>
            </w:pPr>
          </w:p>
        </w:tc>
      </w:tr>
    </w:tbl>
    <w:p w:rsidR="00204BD9" w:rsidRDefault="00204BD9" w:rsidP="009959AA">
      <w:pPr>
        <w:spacing w:line="276" w:lineRule="auto"/>
      </w:pPr>
      <w:r w:rsidRPr="00C428CE">
        <w:t>Til</w:t>
      </w:r>
      <w:r>
        <w:t xml:space="preserve"> </w:t>
      </w:r>
      <w:r w:rsidRPr="00C428CE">
        <w:t xml:space="preserve">Folketinget </w:t>
      </w:r>
      <w:r>
        <w:t>–</w:t>
      </w:r>
      <w:r w:rsidRPr="00C428CE">
        <w:t xml:space="preserve"> Skatteudvalget</w:t>
      </w:r>
    </w:p>
    <w:p w:rsidR="00204BD9" w:rsidRDefault="00204BD9" w:rsidP="009959AA">
      <w:pPr>
        <w:spacing w:line="276" w:lineRule="auto"/>
      </w:pPr>
    </w:p>
    <w:p w:rsidR="006B38B0" w:rsidRPr="002B4CB5" w:rsidRDefault="006B38B0" w:rsidP="009959AA">
      <w:pPr>
        <w:spacing w:line="276" w:lineRule="auto"/>
      </w:pPr>
    </w:p>
    <w:p w:rsidR="000F7B05" w:rsidRPr="00684545" w:rsidRDefault="000F7B05" w:rsidP="009959AA">
      <w:pPr>
        <w:spacing w:line="276" w:lineRule="auto"/>
        <w:rPr>
          <w:b/>
          <w:bCs/>
        </w:rPr>
      </w:pPr>
      <w:r w:rsidRPr="00684545">
        <w:t xml:space="preserve">Til udvalgets orientering </w:t>
      </w:r>
      <w:r>
        <w:t>vedlægges høringssk</w:t>
      </w:r>
      <w:bookmarkStart w:id="1" w:name="_GoBack"/>
      <w:bookmarkEnd w:id="1"/>
      <w:r>
        <w:t xml:space="preserve">ema samt </w:t>
      </w:r>
      <w:r w:rsidR="009D37A0">
        <w:t>endnu et</w:t>
      </w:r>
      <w:r>
        <w:t xml:space="preserve"> modtage</w:t>
      </w:r>
      <w:r w:rsidR="009D37A0">
        <w:t>t</w:t>
      </w:r>
      <w:r>
        <w:t xml:space="preserve"> hør</w:t>
      </w:r>
      <w:r w:rsidR="006B38B0">
        <w:t>ingssvar vedrørende forslag til</w:t>
      </w:r>
      <w:r w:rsidRPr="00684545">
        <w:t xml:space="preserve"> </w:t>
      </w:r>
      <w:r w:rsidR="009D37A0">
        <w:t>forslag til lov om ændring af lov om vurd</w:t>
      </w:r>
      <w:r w:rsidR="009D37A0">
        <w:t>e</w:t>
      </w:r>
      <w:r w:rsidR="009D37A0">
        <w:t>ring af landets faste ejendomme og tinglysningsafgiftsloven.</w:t>
      </w:r>
    </w:p>
    <w:p w:rsidR="00204BD9" w:rsidRDefault="00204BD9" w:rsidP="009959AA">
      <w:pPr>
        <w:spacing w:line="276" w:lineRule="auto"/>
      </w:pPr>
    </w:p>
    <w:p w:rsidR="007028CC" w:rsidRDefault="007028CC" w:rsidP="009959AA">
      <w:pPr>
        <w:spacing w:line="276" w:lineRule="auto"/>
      </w:pPr>
    </w:p>
    <w:p w:rsidR="007028CC" w:rsidRDefault="007028CC" w:rsidP="009959AA">
      <w:pPr>
        <w:spacing w:line="276" w:lineRule="auto"/>
      </w:pPr>
    </w:p>
    <w:p w:rsidR="007028CC" w:rsidRDefault="007028CC" w:rsidP="009959AA">
      <w:pPr>
        <w:spacing w:line="276" w:lineRule="auto"/>
      </w:pPr>
    </w:p>
    <w:p w:rsidR="00204BD9" w:rsidRPr="00C428CE" w:rsidRDefault="00204BD9" w:rsidP="009959AA">
      <w:pPr>
        <w:spacing w:line="276" w:lineRule="auto"/>
      </w:pPr>
    </w:p>
    <w:p w:rsidR="009959AA" w:rsidRDefault="00204BD9" w:rsidP="009959AA">
      <w:pPr>
        <w:tabs>
          <w:tab w:val="right" w:pos="2835"/>
          <w:tab w:val="left" w:pos="3686"/>
          <w:tab w:val="left" w:pos="3969"/>
        </w:tabs>
        <w:spacing w:line="276" w:lineRule="auto"/>
        <w:jc w:val="left"/>
      </w:pPr>
      <w:r>
        <w:tab/>
      </w:r>
      <w:r w:rsidR="009959AA">
        <w:t>Holger K. Nielsen</w:t>
      </w:r>
    </w:p>
    <w:p w:rsidR="009959AA" w:rsidRDefault="009959AA" w:rsidP="009959AA">
      <w:pPr>
        <w:tabs>
          <w:tab w:val="right" w:pos="2835"/>
          <w:tab w:val="left" w:pos="3686"/>
          <w:tab w:val="left" w:pos="3969"/>
        </w:tabs>
        <w:spacing w:line="276" w:lineRule="auto"/>
        <w:jc w:val="left"/>
      </w:pPr>
    </w:p>
    <w:p w:rsidR="009959AA" w:rsidRDefault="009959AA" w:rsidP="009959AA">
      <w:pPr>
        <w:tabs>
          <w:tab w:val="right" w:pos="2835"/>
          <w:tab w:val="left" w:pos="3686"/>
          <w:tab w:val="left" w:pos="4536"/>
        </w:tabs>
        <w:spacing w:line="276" w:lineRule="auto"/>
        <w:jc w:val="left"/>
      </w:pPr>
      <w:r>
        <w:tab/>
      </w:r>
      <w:r>
        <w:tab/>
        <w:t>/</w:t>
      </w:r>
    </w:p>
    <w:p w:rsidR="009959AA" w:rsidRDefault="009959AA" w:rsidP="009959AA">
      <w:pPr>
        <w:spacing w:line="276" w:lineRule="auto"/>
      </w:pPr>
    </w:p>
    <w:p w:rsidR="009959AA" w:rsidRDefault="009959AA" w:rsidP="009959AA">
      <w:pPr>
        <w:tabs>
          <w:tab w:val="right" w:pos="2835"/>
          <w:tab w:val="left" w:pos="3686"/>
          <w:tab w:val="left" w:pos="4536"/>
        </w:tabs>
        <w:spacing w:line="276" w:lineRule="auto"/>
        <w:jc w:val="left"/>
      </w:pPr>
      <w:r>
        <w:tab/>
      </w:r>
      <w:r>
        <w:tab/>
      </w:r>
      <w:r>
        <w:tab/>
      </w:r>
      <w:r w:rsidR="009D37A0">
        <w:t>Søren Schou</w:t>
      </w:r>
    </w:p>
    <w:p w:rsidR="000E614B" w:rsidRDefault="000E614B" w:rsidP="009959AA">
      <w:pPr>
        <w:tabs>
          <w:tab w:val="right" w:pos="3402"/>
          <w:tab w:val="left" w:pos="3686"/>
          <w:tab w:val="left" w:pos="3969"/>
        </w:tabs>
        <w:spacing w:line="276" w:lineRule="auto"/>
        <w:jc w:val="left"/>
        <w:rPr>
          <w:lang w:eastAsia="da-DK"/>
        </w:rPr>
      </w:pPr>
    </w:p>
    <w:p w:rsidR="006E1C89" w:rsidRDefault="006E1C89" w:rsidP="009959AA">
      <w:pPr>
        <w:spacing w:line="276" w:lineRule="auto"/>
        <w:jc w:val="left"/>
        <w:rPr>
          <w:lang w:eastAsia="da-DK"/>
        </w:rPr>
      </w:pPr>
      <w:r>
        <w:rPr>
          <w:lang w:eastAsia="da-DK"/>
        </w:rPr>
        <w:br w:type="page"/>
      </w:r>
    </w:p>
    <w:p w:rsidR="007D1FCB" w:rsidRDefault="006E1C89" w:rsidP="006E1C89">
      <w:pPr>
        <w:pStyle w:val="Overskrift1"/>
      </w:pPr>
      <w:r>
        <w:lastRenderedPageBreak/>
        <w:t>Hørings</w:t>
      </w:r>
      <w:r w:rsidR="00516D8C">
        <w:t>s</w:t>
      </w:r>
      <w:r>
        <w:t>kema</w:t>
      </w:r>
    </w:p>
    <w:p w:rsidR="00047FE5" w:rsidRPr="00047FE5" w:rsidRDefault="00047FE5" w:rsidP="00047FE5">
      <w:pPr>
        <w:rPr>
          <w:lang w:eastAsia="da-DK"/>
        </w:rPr>
      </w:pPr>
    </w:p>
    <w:p w:rsidR="006E1C89" w:rsidRDefault="006E1C89" w:rsidP="006E1C89">
      <w:pPr>
        <w:rPr>
          <w:lang w:eastAsia="da-DK"/>
        </w:rPr>
      </w:pPr>
    </w:p>
    <w:tbl>
      <w:tblPr>
        <w:tblStyle w:val="Tabel-Gitter"/>
        <w:tblW w:w="6482" w:type="pct"/>
        <w:tblInd w:w="108" w:type="dxa"/>
        <w:tblBorders>
          <w:top w:val="single" w:sz="4" w:space="0" w:color="57788E" w:themeColor="accent2"/>
          <w:left w:val="single" w:sz="4" w:space="0" w:color="57788E" w:themeColor="accent2"/>
          <w:bottom w:val="single" w:sz="4" w:space="0" w:color="57788E" w:themeColor="accent2"/>
          <w:right w:val="single" w:sz="4" w:space="0" w:color="57788E" w:themeColor="accent2"/>
          <w:insideH w:val="single" w:sz="4" w:space="0" w:color="57788E" w:themeColor="accent2"/>
          <w:insideV w:val="single" w:sz="4" w:space="0" w:color="57788E" w:themeColor="accent2"/>
        </w:tblBorders>
        <w:tblLook w:val="04A0" w:firstRow="1" w:lastRow="0" w:firstColumn="1" w:lastColumn="0" w:noHBand="0" w:noVBand="1"/>
      </w:tblPr>
      <w:tblGrid>
        <w:gridCol w:w="1701"/>
        <w:gridCol w:w="4030"/>
        <w:gridCol w:w="4030"/>
      </w:tblGrid>
      <w:tr w:rsidR="00D97706" w:rsidRPr="00C14813" w:rsidTr="0051644C">
        <w:trPr>
          <w:trHeight w:hRule="exact" w:val="372"/>
        </w:trPr>
        <w:tc>
          <w:tcPr>
            <w:tcW w:w="1701" w:type="dxa"/>
            <w:shd w:val="clear" w:color="auto" w:fill="57788E" w:themeFill="accent2"/>
            <w:vAlign w:val="center"/>
          </w:tcPr>
          <w:p w:rsidR="00D97706" w:rsidRPr="0051644C" w:rsidRDefault="00D97706" w:rsidP="0051644C">
            <w:pPr>
              <w:spacing w:after="60"/>
              <w:jc w:val="left"/>
              <w:rPr>
                <w:rFonts w:ascii="Calibri" w:hAnsi="Calibri" w:cs="Calibri"/>
                <w:b/>
                <w:color w:val="FFFFFF"/>
                <w:sz w:val="22"/>
              </w:rPr>
            </w:pPr>
            <w:r w:rsidRPr="0051644C">
              <w:rPr>
                <w:rFonts w:ascii="Calibri" w:hAnsi="Calibri" w:cs="Calibri"/>
                <w:b/>
                <w:color w:val="FFFFFF"/>
                <w:sz w:val="22"/>
              </w:rPr>
              <w:t>Organisation</w:t>
            </w:r>
          </w:p>
        </w:tc>
        <w:tc>
          <w:tcPr>
            <w:tcW w:w="4030" w:type="dxa"/>
            <w:shd w:val="clear" w:color="auto" w:fill="57788E" w:themeFill="accent2"/>
            <w:vAlign w:val="center"/>
          </w:tcPr>
          <w:p w:rsidR="00D97706" w:rsidRDefault="00D97706" w:rsidP="0051644C">
            <w:pPr>
              <w:spacing w:after="60"/>
              <w:jc w:val="left"/>
              <w:rPr>
                <w:rFonts w:ascii="Calibri" w:hAnsi="Calibri" w:cs="Calibri"/>
                <w:b/>
                <w:color w:val="FFFFFF"/>
                <w:sz w:val="22"/>
              </w:rPr>
            </w:pPr>
            <w:r>
              <w:rPr>
                <w:rFonts w:ascii="Calibri" w:hAnsi="Calibri" w:cs="Calibri"/>
                <w:b/>
                <w:color w:val="FFFFFF"/>
                <w:sz w:val="22"/>
              </w:rPr>
              <w:t>Bemærkninger</w:t>
            </w:r>
          </w:p>
          <w:p w:rsidR="00D97706" w:rsidRPr="00C14813" w:rsidRDefault="00D97706" w:rsidP="0051644C">
            <w:pPr>
              <w:spacing w:after="60"/>
              <w:jc w:val="left"/>
              <w:rPr>
                <w:rFonts w:ascii="Calibri" w:hAnsi="Calibri" w:cs="Calibri"/>
                <w:b/>
                <w:color w:val="FFFFFF"/>
                <w:sz w:val="22"/>
              </w:rPr>
            </w:pPr>
          </w:p>
        </w:tc>
        <w:tc>
          <w:tcPr>
            <w:tcW w:w="4030" w:type="dxa"/>
            <w:shd w:val="clear" w:color="auto" w:fill="57788E" w:themeFill="accent2"/>
            <w:vAlign w:val="center"/>
          </w:tcPr>
          <w:p w:rsidR="00D97706" w:rsidRDefault="00D97706" w:rsidP="0051644C">
            <w:pPr>
              <w:spacing w:after="60"/>
              <w:jc w:val="left"/>
              <w:rPr>
                <w:rFonts w:ascii="Calibri" w:hAnsi="Calibri" w:cs="Calibri"/>
                <w:b/>
                <w:color w:val="FFFFFF"/>
                <w:sz w:val="22"/>
              </w:rPr>
            </w:pPr>
            <w:r>
              <w:rPr>
                <w:rFonts w:ascii="Calibri" w:hAnsi="Calibri" w:cs="Calibri"/>
                <w:b/>
                <w:color w:val="FFFFFF"/>
                <w:sz w:val="22"/>
              </w:rPr>
              <w:t>Kommentarer</w:t>
            </w:r>
          </w:p>
        </w:tc>
      </w:tr>
      <w:tr w:rsidR="00D97706" w:rsidRPr="0051644C" w:rsidTr="009D37A0">
        <w:trPr>
          <w:trHeight w:val="360"/>
        </w:trPr>
        <w:tc>
          <w:tcPr>
            <w:tcW w:w="1701" w:type="dxa"/>
          </w:tcPr>
          <w:p w:rsidR="00D97706" w:rsidRPr="0051644C" w:rsidRDefault="009D37A0" w:rsidP="009D37A0">
            <w:pPr>
              <w:spacing w:after="60"/>
              <w:jc w:val="left"/>
              <w:rPr>
                <w:rFonts w:asciiTheme="minorHAnsi" w:hAnsiTheme="minorHAnsi" w:cs="Calibri"/>
                <w:b/>
                <w:szCs w:val="24"/>
              </w:rPr>
            </w:pPr>
            <w:r>
              <w:rPr>
                <w:rFonts w:asciiTheme="minorHAnsi" w:hAnsiTheme="minorHAnsi" w:cs="Calibri"/>
                <w:b/>
                <w:szCs w:val="24"/>
              </w:rPr>
              <w:t>FSR - danske revisorer</w:t>
            </w:r>
          </w:p>
        </w:tc>
        <w:tc>
          <w:tcPr>
            <w:tcW w:w="4030" w:type="dxa"/>
          </w:tcPr>
          <w:p w:rsidR="009D37A0" w:rsidRDefault="009D37A0" w:rsidP="009D37A0">
            <w:pPr>
              <w:spacing w:after="60"/>
              <w:jc w:val="left"/>
              <w:rPr>
                <w:rFonts w:asciiTheme="minorHAnsi" w:hAnsiTheme="minorHAnsi" w:cs="Calibri"/>
                <w:szCs w:val="24"/>
              </w:rPr>
            </w:pPr>
            <w:r>
              <w:rPr>
                <w:rFonts w:asciiTheme="minorHAnsi" w:hAnsiTheme="minorHAnsi" w:cs="Calibri"/>
                <w:szCs w:val="24"/>
              </w:rPr>
              <w:t xml:space="preserve">FSR har tre overordnede bekymringer: </w:t>
            </w:r>
          </w:p>
          <w:p w:rsidR="009D37A0" w:rsidRDefault="009D37A0" w:rsidP="009D37A0">
            <w:pPr>
              <w:spacing w:after="60"/>
              <w:jc w:val="left"/>
              <w:rPr>
                <w:rFonts w:asciiTheme="minorHAnsi" w:hAnsiTheme="minorHAnsi" w:cs="Calibri"/>
                <w:szCs w:val="24"/>
              </w:rPr>
            </w:pPr>
            <w:r w:rsidRPr="009D37A0">
              <w:rPr>
                <w:rFonts w:asciiTheme="minorHAnsi" w:hAnsiTheme="minorHAnsi" w:cs="Calibri"/>
                <w:szCs w:val="24"/>
              </w:rPr>
              <w:t>1)</w:t>
            </w:r>
            <w:r>
              <w:rPr>
                <w:rFonts w:asciiTheme="minorHAnsi" w:hAnsiTheme="minorHAnsi" w:cs="Calibri"/>
                <w:szCs w:val="24"/>
              </w:rPr>
              <w:t xml:space="preserve"> Ejere af erhvervsejendomme ligestilles ikke med boligejere, idet der ikke gives et nedslag på 2,5 pct., der ikke påtænkes en tilbagebetalingsordning, og der ikke vil være konsekvenser af de mange fejlvu</w:t>
            </w:r>
            <w:r>
              <w:rPr>
                <w:rFonts w:asciiTheme="minorHAnsi" w:hAnsiTheme="minorHAnsi" w:cs="Calibri"/>
                <w:szCs w:val="24"/>
              </w:rPr>
              <w:t>r</w:t>
            </w:r>
            <w:r>
              <w:rPr>
                <w:rFonts w:asciiTheme="minorHAnsi" w:hAnsiTheme="minorHAnsi" w:cs="Calibri"/>
                <w:szCs w:val="24"/>
              </w:rPr>
              <w:t>deringer i 2010. Der vil hverken være efterregulering, tilbagebetaling eller u</w:t>
            </w:r>
            <w:r>
              <w:rPr>
                <w:rFonts w:asciiTheme="minorHAnsi" w:hAnsiTheme="minorHAnsi" w:cs="Calibri"/>
                <w:szCs w:val="24"/>
              </w:rPr>
              <w:t>d</w:t>
            </w:r>
            <w:r>
              <w:rPr>
                <w:rFonts w:asciiTheme="minorHAnsi" w:hAnsiTheme="minorHAnsi" w:cs="Calibri"/>
                <w:szCs w:val="24"/>
              </w:rPr>
              <w:t>videt genoptagelsesmulighed.</w:t>
            </w:r>
          </w:p>
          <w:p w:rsidR="009D37A0" w:rsidRDefault="009D37A0" w:rsidP="009D37A0">
            <w:pPr>
              <w:spacing w:after="60"/>
              <w:jc w:val="left"/>
              <w:rPr>
                <w:rFonts w:asciiTheme="minorHAnsi" w:hAnsiTheme="minorHAnsi" w:cs="Calibri"/>
                <w:szCs w:val="24"/>
              </w:rPr>
            </w:pPr>
            <w:r>
              <w:rPr>
                <w:rFonts w:asciiTheme="minorHAnsi" w:hAnsiTheme="minorHAnsi" w:cs="Calibri"/>
                <w:szCs w:val="24"/>
              </w:rPr>
              <w:t>2) Det er betænkeligt, at det ikke bliver muligt at klage over 2013- og 2014-vurderingerne, før 2015-vurderingen vil kunne påklages.</w:t>
            </w:r>
          </w:p>
          <w:p w:rsidR="009D37A0" w:rsidRDefault="009D37A0" w:rsidP="009D37A0">
            <w:pPr>
              <w:spacing w:after="60"/>
              <w:jc w:val="left"/>
              <w:rPr>
                <w:rFonts w:asciiTheme="minorHAnsi" w:hAnsiTheme="minorHAnsi" w:cs="Calibri"/>
                <w:szCs w:val="24"/>
              </w:rPr>
            </w:pPr>
            <w:r>
              <w:rPr>
                <w:rFonts w:asciiTheme="minorHAnsi" w:hAnsiTheme="minorHAnsi" w:cs="Calibri"/>
                <w:szCs w:val="24"/>
              </w:rPr>
              <w:t>3) Der tages ikke højde for, at vurderi</w:t>
            </w:r>
            <w:r>
              <w:rPr>
                <w:rFonts w:asciiTheme="minorHAnsi" w:hAnsiTheme="minorHAnsi" w:cs="Calibri"/>
                <w:szCs w:val="24"/>
              </w:rPr>
              <w:t>n</w:t>
            </w:r>
            <w:r>
              <w:rPr>
                <w:rFonts w:asciiTheme="minorHAnsi" w:hAnsiTheme="minorHAnsi" w:cs="Calibri"/>
                <w:szCs w:val="24"/>
              </w:rPr>
              <w:t>gerne i 2010 var en væsentlig del af ba</w:t>
            </w:r>
            <w:r>
              <w:rPr>
                <w:rFonts w:asciiTheme="minorHAnsi" w:hAnsiTheme="minorHAnsi" w:cs="Calibri"/>
                <w:szCs w:val="24"/>
              </w:rPr>
              <w:t>g</w:t>
            </w:r>
            <w:r>
              <w:rPr>
                <w:rFonts w:asciiTheme="minorHAnsi" w:hAnsiTheme="minorHAnsi" w:cs="Calibri"/>
                <w:szCs w:val="24"/>
              </w:rPr>
              <w:t>grunden for Rigsrevisionens kritik.</w:t>
            </w:r>
            <w:r w:rsidR="00733868">
              <w:rPr>
                <w:rFonts w:asciiTheme="minorHAnsi" w:hAnsiTheme="minorHAnsi" w:cs="Calibri"/>
                <w:szCs w:val="24"/>
              </w:rPr>
              <w:t xml:space="preserve"> Der blev ved vurderingen i 2010 taget usagl</w:t>
            </w:r>
            <w:r w:rsidR="00733868">
              <w:rPr>
                <w:rFonts w:asciiTheme="minorHAnsi" w:hAnsiTheme="minorHAnsi" w:cs="Calibri"/>
                <w:szCs w:val="24"/>
              </w:rPr>
              <w:t>i</w:t>
            </w:r>
            <w:r w:rsidR="00733868">
              <w:rPr>
                <w:rFonts w:asciiTheme="minorHAnsi" w:hAnsiTheme="minorHAnsi" w:cs="Calibri"/>
                <w:szCs w:val="24"/>
              </w:rPr>
              <w:t>ge hensyn, bl.a. ved at SKAT prioriter</w:t>
            </w:r>
            <w:r w:rsidR="00733868">
              <w:rPr>
                <w:rFonts w:asciiTheme="minorHAnsi" w:hAnsiTheme="minorHAnsi" w:cs="Calibri"/>
                <w:szCs w:val="24"/>
              </w:rPr>
              <w:t>e</w:t>
            </w:r>
            <w:r w:rsidR="00733868">
              <w:rPr>
                <w:rFonts w:asciiTheme="minorHAnsi" w:hAnsiTheme="minorHAnsi" w:cs="Calibri"/>
                <w:szCs w:val="24"/>
              </w:rPr>
              <w:t>de ejendomme i kommuner med dæ</w:t>
            </w:r>
            <w:r w:rsidR="00733868">
              <w:rPr>
                <w:rFonts w:asciiTheme="minorHAnsi" w:hAnsiTheme="minorHAnsi" w:cs="Calibri"/>
                <w:szCs w:val="24"/>
              </w:rPr>
              <w:t>k</w:t>
            </w:r>
            <w:r w:rsidR="00733868">
              <w:rPr>
                <w:rFonts w:asciiTheme="minorHAnsi" w:hAnsiTheme="minorHAnsi" w:cs="Calibri"/>
                <w:szCs w:val="24"/>
              </w:rPr>
              <w:t>ningsafgift.</w:t>
            </w:r>
          </w:p>
          <w:p w:rsidR="008215DD" w:rsidRDefault="008215DD" w:rsidP="009D37A0">
            <w:pPr>
              <w:spacing w:after="60"/>
              <w:jc w:val="left"/>
              <w:rPr>
                <w:rFonts w:asciiTheme="minorHAnsi" w:hAnsiTheme="minorHAnsi" w:cs="Calibri"/>
                <w:szCs w:val="24"/>
              </w:rPr>
            </w:pPr>
          </w:p>
          <w:p w:rsidR="00733868" w:rsidRDefault="00733868" w:rsidP="009D37A0">
            <w:pPr>
              <w:spacing w:after="60"/>
              <w:jc w:val="left"/>
              <w:rPr>
                <w:rFonts w:asciiTheme="minorHAnsi" w:hAnsiTheme="minorHAnsi" w:cs="Calibri"/>
                <w:szCs w:val="24"/>
              </w:rPr>
            </w:pPr>
            <w:r>
              <w:rPr>
                <w:rFonts w:asciiTheme="minorHAnsi" w:hAnsiTheme="minorHAnsi" w:cs="Calibri"/>
                <w:szCs w:val="24"/>
              </w:rPr>
              <w:t xml:space="preserve">FSR ønsker </w:t>
            </w:r>
            <w:r w:rsidR="00D8615D">
              <w:rPr>
                <w:rFonts w:asciiTheme="minorHAnsi" w:hAnsiTheme="minorHAnsi" w:cs="Calibri"/>
                <w:szCs w:val="24"/>
              </w:rPr>
              <w:t>oplyst, hvorfor Skattemin</w:t>
            </w:r>
            <w:r w:rsidR="00D8615D">
              <w:rPr>
                <w:rFonts w:asciiTheme="minorHAnsi" w:hAnsiTheme="minorHAnsi" w:cs="Calibri"/>
                <w:szCs w:val="24"/>
              </w:rPr>
              <w:t>i</w:t>
            </w:r>
            <w:r w:rsidR="00D8615D">
              <w:rPr>
                <w:rFonts w:asciiTheme="minorHAnsi" w:hAnsiTheme="minorHAnsi" w:cs="Calibri"/>
                <w:szCs w:val="24"/>
              </w:rPr>
              <w:t>steriets tal for boligejere, der betaler grundskyld af aktuel vurdering, afviger fra Rigsrevisionens.</w:t>
            </w:r>
          </w:p>
          <w:p w:rsidR="009D79DB" w:rsidRDefault="009D79DB" w:rsidP="009D37A0">
            <w:pPr>
              <w:spacing w:after="60"/>
              <w:jc w:val="left"/>
              <w:rPr>
                <w:rFonts w:asciiTheme="minorHAnsi" w:hAnsiTheme="minorHAnsi" w:cs="Calibri"/>
                <w:szCs w:val="24"/>
              </w:rPr>
            </w:pPr>
          </w:p>
          <w:p w:rsidR="008215DD" w:rsidRDefault="008215DD" w:rsidP="009D37A0">
            <w:pPr>
              <w:spacing w:after="60"/>
              <w:jc w:val="left"/>
              <w:rPr>
                <w:rFonts w:asciiTheme="minorHAnsi" w:hAnsiTheme="minorHAnsi" w:cs="Calibri"/>
                <w:szCs w:val="24"/>
              </w:rPr>
            </w:pPr>
          </w:p>
          <w:p w:rsidR="009D79DB" w:rsidRDefault="009D79DB" w:rsidP="009D37A0">
            <w:pPr>
              <w:spacing w:after="60"/>
              <w:jc w:val="left"/>
              <w:rPr>
                <w:rFonts w:asciiTheme="minorHAnsi" w:hAnsiTheme="minorHAnsi" w:cs="Calibri"/>
                <w:szCs w:val="24"/>
              </w:rPr>
            </w:pPr>
            <w:r>
              <w:rPr>
                <w:rFonts w:asciiTheme="minorHAnsi" w:hAnsiTheme="minorHAnsi" w:cs="Calibri"/>
                <w:szCs w:val="24"/>
              </w:rPr>
              <w:t>FSR kommenterer derefter lovforslagets enkelte bestemmelser:</w:t>
            </w:r>
          </w:p>
          <w:p w:rsidR="009D79DB" w:rsidRDefault="009D79DB" w:rsidP="009D37A0">
            <w:pPr>
              <w:spacing w:after="60"/>
              <w:jc w:val="left"/>
              <w:rPr>
                <w:rFonts w:asciiTheme="minorHAnsi" w:hAnsiTheme="minorHAnsi" w:cs="Calibri"/>
                <w:szCs w:val="24"/>
              </w:rPr>
            </w:pPr>
          </w:p>
          <w:p w:rsidR="009D79DB" w:rsidRDefault="009D79DB" w:rsidP="009D37A0">
            <w:pPr>
              <w:spacing w:after="60"/>
              <w:jc w:val="left"/>
              <w:rPr>
                <w:rFonts w:asciiTheme="minorHAnsi" w:hAnsiTheme="minorHAnsi" w:cs="Calibri"/>
                <w:szCs w:val="24"/>
              </w:rPr>
            </w:pPr>
            <w:r>
              <w:rPr>
                <w:rFonts w:asciiTheme="minorHAnsi" w:hAnsiTheme="minorHAnsi" w:cs="Calibri"/>
                <w:szCs w:val="24"/>
              </w:rPr>
              <w:t>§§ 46 B og 46 C [§§ 42-43 i det fremsatte forslag]:</w:t>
            </w:r>
          </w:p>
          <w:p w:rsidR="009D79DB" w:rsidRDefault="009D79DB" w:rsidP="009D37A0">
            <w:pPr>
              <w:spacing w:after="60"/>
              <w:jc w:val="left"/>
              <w:rPr>
                <w:rFonts w:asciiTheme="minorHAnsi" w:hAnsiTheme="minorHAnsi" w:cs="Calibri"/>
                <w:szCs w:val="24"/>
              </w:rPr>
            </w:pPr>
            <w:r>
              <w:rPr>
                <w:rFonts w:asciiTheme="minorHAnsi" w:hAnsiTheme="minorHAnsi" w:cs="Calibri"/>
                <w:szCs w:val="24"/>
              </w:rPr>
              <w:t>FSR konstaterer, at reduktionen på 2,5 pct. er et politisk valg. FSR spørger, om Skatteministeriet har statistisk grundlag eller anden viden, der dokumenterer, at vurderinger af erhvervsejendomme (ejendomme vurderet i lige år) er mere præcise end vurderinger af ejerboliger, og at der derfor ikke er behov for en tilbagebetalingsordning for erhverv</w:t>
            </w:r>
            <w:r>
              <w:rPr>
                <w:rFonts w:asciiTheme="minorHAnsi" w:hAnsiTheme="minorHAnsi" w:cs="Calibri"/>
                <w:szCs w:val="24"/>
              </w:rPr>
              <w:t>s</w:t>
            </w:r>
            <w:r>
              <w:rPr>
                <w:rFonts w:asciiTheme="minorHAnsi" w:hAnsiTheme="minorHAnsi" w:cs="Calibri"/>
                <w:szCs w:val="24"/>
              </w:rPr>
              <w:t>ejendomme.</w:t>
            </w:r>
          </w:p>
          <w:p w:rsidR="009D79DB" w:rsidRDefault="009D79DB" w:rsidP="009D37A0">
            <w:pPr>
              <w:spacing w:after="60"/>
              <w:jc w:val="left"/>
              <w:rPr>
                <w:rFonts w:asciiTheme="minorHAnsi" w:hAnsiTheme="minorHAnsi" w:cs="Calibri"/>
                <w:szCs w:val="24"/>
              </w:rPr>
            </w:pPr>
          </w:p>
          <w:p w:rsidR="009D79DB" w:rsidRDefault="009D79DB" w:rsidP="009D37A0">
            <w:pPr>
              <w:spacing w:after="60"/>
              <w:jc w:val="left"/>
              <w:rPr>
                <w:rFonts w:asciiTheme="minorHAnsi" w:hAnsiTheme="minorHAnsi" w:cs="Calibri"/>
                <w:szCs w:val="24"/>
              </w:rPr>
            </w:pPr>
            <w:r>
              <w:rPr>
                <w:rFonts w:asciiTheme="minorHAnsi" w:hAnsiTheme="minorHAnsi" w:cs="Calibri"/>
                <w:szCs w:val="24"/>
              </w:rPr>
              <w:t>§ 46 D [§ 44 i det fremsatte lovforslag]:</w:t>
            </w:r>
          </w:p>
          <w:p w:rsidR="009D79DB" w:rsidRDefault="00A02E52" w:rsidP="009D37A0">
            <w:pPr>
              <w:spacing w:after="60"/>
              <w:jc w:val="left"/>
              <w:rPr>
                <w:rFonts w:asciiTheme="minorHAnsi" w:hAnsiTheme="minorHAnsi" w:cs="Calibri"/>
                <w:szCs w:val="24"/>
              </w:rPr>
            </w:pPr>
            <w:r>
              <w:rPr>
                <w:rFonts w:asciiTheme="minorHAnsi" w:hAnsiTheme="minorHAnsi" w:cs="Calibri"/>
                <w:szCs w:val="24"/>
              </w:rPr>
              <w:t xml:space="preserve">FSR finder det generelt kritisabelt, at der ikke kan klages over vurderinger før i </w:t>
            </w:r>
            <w:r>
              <w:rPr>
                <w:rFonts w:asciiTheme="minorHAnsi" w:hAnsiTheme="minorHAnsi" w:cs="Calibri"/>
                <w:szCs w:val="24"/>
              </w:rPr>
              <w:lastRenderedPageBreak/>
              <w:t>foråret 2016. Dette gælder ikke mindst for erhvervsejendomme, hvor der ikke kommer en tilbagebetalingsordning. Det gælder endvidere omvurderinger efter vurderingslovens § 3 (f.eks. af nybyggeri) og vurderinger, som ændres efter skatt</w:t>
            </w:r>
            <w:r>
              <w:rPr>
                <w:rFonts w:asciiTheme="minorHAnsi" w:hAnsiTheme="minorHAnsi" w:cs="Calibri"/>
                <w:szCs w:val="24"/>
              </w:rPr>
              <w:t>e</w:t>
            </w:r>
            <w:r>
              <w:rPr>
                <w:rFonts w:asciiTheme="minorHAnsi" w:hAnsiTheme="minorHAnsi" w:cs="Calibri"/>
                <w:szCs w:val="24"/>
              </w:rPr>
              <w:t>forvaltningslovens §§ 33 [genoptagelse], 33 a [revisionsbestemmelsen] og 38 [kl</w:t>
            </w:r>
            <w:r>
              <w:rPr>
                <w:rFonts w:asciiTheme="minorHAnsi" w:hAnsiTheme="minorHAnsi" w:cs="Calibri"/>
                <w:szCs w:val="24"/>
              </w:rPr>
              <w:t>a</w:t>
            </w:r>
            <w:r>
              <w:rPr>
                <w:rFonts w:asciiTheme="minorHAnsi" w:hAnsiTheme="minorHAnsi" w:cs="Calibri"/>
                <w:szCs w:val="24"/>
              </w:rPr>
              <w:t>ge].</w:t>
            </w:r>
          </w:p>
          <w:p w:rsidR="00BA7E74" w:rsidRDefault="00BA7E74" w:rsidP="009D37A0">
            <w:pPr>
              <w:spacing w:after="60"/>
              <w:jc w:val="left"/>
              <w:rPr>
                <w:rFonts w:asciiTheme="minorHAnsi" w:hAnsiTheme="minorHAnsi" w:cs="Calibri"/>
                <w:szCs w:val="24"/>
              </w:rPr>
            </w:pPr>
          </w:p>
          <w:p w:rsidR="00BA7E74" w:rsidRDefault="00BA7E74" w:rsidP="009D37A0">
            <w:pPr>
              <w:spacing w:after="60"/>
              <w:jc w:val="left"/>
              <w:rPr>
                <w:rFonts w:asciiTheme="minorHAnsi" w:hAnsiTheme="minorHAnsi" w:cs="Calibri"/>
                <w:szCs w:val="24"/>
              </w:rPr>
            </w:pPr>
            <w:r>
              <w:rPr>
                <w:rFonts w:asciiTheme="minorHAnsi" w:hAnsiTheme="minorHAnsi" w:cs="Calibri"/>
                <w:szCs w:val="24"/>
              </w:rPr>
              <w:t>§ 46 E [§ 45 i det fremsatte lovforslag]:</w:t>
            </w:r>
          </w:p>
          <w:p w:rsidR="00BA7E74" w:rsidRDefault="00BA7E74" w:rsidP="009D37A0">
            <w:pPr>
              <w:spacing w:after="60"/>
              <w:jc w:val="left"/>
              <w:rPr>
                <w:rFonts w:asciiTheme="minorHAnsi" w:hAnsiTheme="minorHAnsi" w:cs="Calibri"/>
                <w:szCs w:val="24"/>
              </w:rPr>
            </w:pPr>
            <w:r>
              <w:rPr>
                <w:rFonts w:asciiTheme="minorHAnsi" w:hAnsiTheme="minorHAnsi" w:cs="Calibri"/>
                <w:szCs w:val="24"/>
              </w:rPr>
              <w:t xml:space="preserve">FSR mener, at </w:t>
            </w:r>
            <w:r w:rsidR="0009294A">
              <w:rPr>
                <w:rFonts w:asciiTheme="minorHAnsi" w:hAnsiTheme="minorHAnsi" w:cs="Calibri"/>
                <w:szCs w:val="24"/>
              </w:rPr>
              <w:t>der bør gives mulighed for vurdering efter vurderingslovens § 4 [vurdering uden for de almindelige vu</w:t>
            </w:r>
            <w:r w:rsidR="0009294A">
              <w:rPr>
                <w:rFonts w:asciiTheme="minorHAnsi" w:hAnsiTheme="minorHAnsi" w:cs="Calibri"/>
                <w:szCs w:val="24"/>
              </w:rPr>
              <w:t>r</w:t>
            </w:r>
            <w:r w:rsidR="0009294A">
              <w:rPr>
                <w:rFonts w:asciiTheme="minorHAnsi" w:hAnsiTheme="minorHAnsi" w:cs="Calibri"/>
                <w:szCs w:val="24"/>
              </w:rPr>
              <w:t>deringsterminer] i tilfælde, hvor en eje</w:t>
            </w:r>
            <w:r w:rsidR="0009294A">
              <w:rPr>
                <w:rFonts w:asciiTheme="minorHAnsi" w:hAnsiTheme="minorHAnsi" w:cs="Calibri"/>
                <w:szCs w:val="24"/>
              </w:rPr>
              <w:t>n</w:t>
            </w:r>
            <w:r w:rsidR="0009294A">
              <w:rPr>
                <w:rFonts w:asciiTheme="minorHAnsi" w:hAnsiTheme="minorHAnsi" w:cs="Calibri"/>
                <w:szCs w:val="24"/>
              </w:rPr>
              <w:t>dom planlægges overdraget.</w:t>
            </w:r>
          </w:p>
          <w:p w:rsidR="0009294A" w:rsidRDefault="0009294A" w:rsidP="009D37A0">
            <w:pPr>
              <w:spacing w:after="60"/>
              <w:jc w:val="left"/>
              <w:rPr>
                <w:rFonts w:asciiTheme="minorHAnsi" w:hAnsiTheme="minorHAnsi" w:cs="Calibri"/>
                <w:szCs w:val="24"/>
              </w:rPr>
            </w:pPr>
          </w:p>
          <w:p w:rsidR="0009294A" w:rsidRDefault="0009294A" w:rsidP="009D37A0">
            <w:pPr>
              <w:spacing w:after="60"/>
              <w:jc w:val="left"/>
              <w:rPr>
                <w:rFonts w:asciiTheme="minorHAnsi" w:hAnsiTheme="minorHAnsi" w:cs="Calibri"/>
                <w:szCs w:val="24"/>
              </w:rPr>
            </w:pPr>
            <w:r>
              <w:rPr>
                <w:rFonts w:asciiTheme="minorHAnsi" w:hAnsiTheme="minorHAnsi" w:cs="Calibri"/>
                <w:szCs w:val="24"/>
              </w:rPr>
              <w:t>Endelig kommenterer FSR det samlede udspil på vurderingsområdet. Herunder kritiseres det især, at regeringen påtæ</w:t>
            </w:r>
            <w:r>
              <w:rPr>
                <w:rFonts w:asciiTheme="minorHAnsi" w:hAnsiTheme="minorHAnsi" w:cs="Calibri"/>
                <w:szCs w:val="24"/>
              </w:rPr>
              <w:t>n</w:t>
            </w:r>
            <w:r>
              <w:rPr>
                <w:rFonts w:asciiTheme="minorHAnsi" w:hAnsiTheme="minorHAnsi" w:cs="Calibri"/>
                <w:szCs w:val="24"/>
              </w:rPr>
              <w:t>ker at ændre reglerne om klagesagsb</w:t>
            </w:r>
            <w:r>
              <w:rPr>
                <w:rFonts w:asciiTheme="minorHAnsi" w:hAnsiTheme="minorHAnsi" w:cs="Calibri"/>
                <w:szCs w:val="24"/>
              </w:rPr>
              <w:t>e</w:t>
            </w:r>
            <w:r>
              <w:rPr>
                <w:rFonts w:asciiTheme="minorHAnsi" w:hAnsiTheme="minorHAnsi" w:cs="Calibri"/>
                <w:szCs w:val="24"/>
              </w:rPr>
              <w:t>handling, således at Landsskatteretten fremover kun skal behan</w:t>
            </w:r>
            <w:r w:rsidR="00C45C2B">
              <w:rPr>
                <w:rFonts w:asciiTheme="minorHAnsi" w:hAnsiTheme="minorHAnsi" w:cs="Calibri"/>
                <w:szCs w:val="24"/>
              </w:rPr>
              <w:t>dle sager om fortolkning af reg</w:t>
            </w:r>
            <w:r>
              <w:rPr>
                <w:rFonts w:asciiTheme="minorHAnsi" w:hAnsiTheme="minorHAnsi" w:cs="Calibri"/>
                <w:szCs w:val="24"/>
              </w:rPr>
              <w:t>l</w:t>
            </w:r>
            <w:r w:rsidR="00C45C2B">
              <w:rPr>
                <w:rFonts w:asciiTheme="minorHAnsi" w:hAnsiTheme="minorHAnsi" w:cs="Calibri"/>
                <w:szCs w:val="24"/>
              </w:rPr>
              <w:t>e</w:t>
            </w:r>
            <w:r>
              <w:rPr>
                <w:rFonts w:asciiTheme="minorHAnsi" w:hAnsiTheme="minorHAnsi" w:cs="Calibri"/>
                <w:szCs w:val="24"/>
              </w:rPr>
              <w:t>rne.</w:t>
            </w:r>
          </w:p>
          <w:p w:rsidR="00733868" w:rsidRPr="009D37A0" w:rsidRDefault="00733868" w:rsidP="009D37A0">
            <w:pPr>
              <w:spacing w:after="60"/>
              <w:jc w:val="left"/>
              <w:rPr>
                <w:rFonts w:asciiTheme="minorHAnsi" w:hAnsiTheme="minorHAnsi" w:cs="Calibri"/>
                <w:szCs w:val="24"/>
              </w:rPr>
            </w:pPr>
          </w:p>
        </w:tc>
        <w:tc>
          <w:tcPr>
            <w:tcW w:w="4030" w:type="dxa"/>
          </w:tcPr>
          <w:p w:rsidR="00D97706" w:rsidRDefault="00D97706" w:rsidP="009D37A0">
            <w:pPr>
              <w:spacing w:after="60"/>
              <w:jc w:val="left"/>
              <w:rPr>
                <w:rFonts w:asciiTheme="minorHAnsi" w:hAnsiTheme="minorHAnsi" w:cs="Calibri"/>
                <w:szCs w:val="24"/>
              </w:rPr>
            </w:pPr>
          </w:p>
          <w:p w:rsidR="00A53E0D" w:rsidRDefault="00507EA4" w:rsidP="009D37A0">
            <w:pPr>
              <w:spacing w:after="60"/>
              <w:jc w:val="left"/>
              <w:rPr>
                <w:rFonts w:asciiTheme="minorHAnsi" w:hAnsiTheme="minorHAnsi" w:cs="Calibri"/>
                <w:szCs w:val="24"/>
              </w:rPr>
            </w:pPr>
            <w:r>
              <w:rPr>
                <w:rFonts w:asciiTheme="minorHAnsi" w:hAnsiTheme="minorHAnsi" w:cs="Calibri"/>
                <w:szCs w:val="24"/>
              </w:rPr>
              <w:t>Der henvises til kommentaren til h</w:t>
            </w:r>
            <w:r>
              <w:rPr>
                <w:rFonts w:asciiTheme="minorHAnsi" w:hAnsiTheme="minorHAnsi" w:cs="Calibri"/>
                <w:szCs w:val="24"/>
              </w:rPr>
              <w:t>ø</w:t>
            </w:r>
            <w:r>
              <w:rPr>
                <w:rFonts w:asciiTheme="minorHAnsi" w:hAnsiTheme="minorHAnsi" w:cs="Calibri"/>
                <w:szCs w:val="24"/>
              </w:rPr>
              <w:t>ringssvaret fra Dansk Ejendomsmægle</w:t>
            </w:r>
            <w:r>
              <w:rPr>
                <w:rFonts w:asciiTheme="minorHAnsi" w:hAnsiTheme="minorHAnsi" w:cs="Calibri"/>
                <w:szCs w:val="24"/>
              </w:rPr>
              <w:t>r</w:t>
            </w:r>
            <w:r>
              <w:rPr>
                <w:rFonts w:asciiTheme="minorHAnsi" w:hAnsiTheme="minorHAnsi" w:cs="Calibri"/>
                <w:szCs w:val="24"/>
              </w:rPr>
              <w:t>forening.</w:t>
            </w:r>
          </w:p>
          <w:p w:rsidR="00507EA4" w:rsidRDefault="00507EA4" w:rsidP="009D37A0">
            <w:pPr>
              <w:spacing w:after="60"/>
              <w:jc w:val="left"/>
              <w:rPr>
                <w:rFonts w:asciiTheme="minorHAnsi" w:hAnsiTheme="minorHAnsi" w:cs="Calibri"/>
                <w:szCs w:val="24"/>
              </w:rPr>
            </w:pPr>
          </w:p>
          <w:p w:rsidR="00507EA4" w:rsidRDefault="00507EA4" w:rsidP="009D37A0">
            <w:pPr>
              <w:spacing w:after="60"/>
              <w:jc w:val="left"/>
              <w:rPr>
                <w:rFonts w:asciiTheme="minorHAnsi" w:hAnsiTheme="minorHAnsi" w:cs="Calibri"/>
                <w:szCs w:val="24"/>
              </w:rPr>
            </w:pPr>
          </w:p>
          <w:p w:rsidR="00507EA4" w:rsidRDefault="00507EA4" w:rsidP="009D37A0">
            <w:pPr>
              <w:spacing w:after="60"/>
              <w:jc w:val="left"/>
              <w:rPr>
                <w:rFonts w:asciiTheme="minorHAnsi" w:hAnsiTheme="minorHAnsi" w:cs="Calibri"/>
                <w:szCs w:val="24"/>
              </w:rPr>
            </w:pPr>
          </w:p>
          <w:p w:rsidR="00507EA4" w:rsidRDefault="00507EA4" w:rsidP="009D37A0">
            <w:pPr>
              <w:spacing w:after="60"/>
              <w:jc w:val="left"/>
              <w:rPr>
                <w:rFonts w:asciiTheme="minorHAnsi" w:hAnsiTheme="minorHAnsi" w:cs="Calibri"/>
                <w:szCs w:val="24"/>
              </w:rPr>
            </w:pPr>
          </w:p>
          <w:p w:rsidR="00507EA4" w:rsidRDefault="00507EA4" w:rsidP="009D37A0">
            <w:pPr>
              <w:spacing w:after="60"/>
              <w:jc w:val="left"/>
              <w:rPr>
                <w:rFonts w:asciiTheme="minorHAnsi" w:hAnsiTheme="minorHAnsi" w:cs="Calibri"/>
                <w:szCs w:val="24"/>
              </w:rPr>
            </w:pPr>
            <w:r>
              <w:rPr>
                <w:rFonts w:asciiTheme="minorHAnsi" w:hAnsiTheme="minorHAnsi" w:cs="Calibri"/>
                <w:szCs w:val="24"/>
              </w:rPr>
              <w:t>Der henvises til kommentarerne til h</w:t>
            </w:r>
            <w:r>
              <w:rPr>
                <w:rFonts w:asciiTheme="minorHAnsi" w:hAnsiTheme="minorHAnsi" w:cs="Calibri"/>
                <w:szCs w:val="24"/>
              </w:rPr>
              <w:t>ø</w:t>
            </w:r>
            <w:r>
              <w:rPr>
                <w:rFonts w:asciiTheme="minorHAnsi" w:hAnsiTheme="minorHAnsi" w:cs="Calibri"/>
                <w:szCs w:val="24"/>
              </w:rPr>
              <w:t>ringssvaret fra Andelsboligforeningernes Fællesrepræsentation.</w:t>
            </w:r>
          </w:p>
          <w:p w:rsidR="00507EA4" w:rsidRDefault="00507EA4" w:rsidP="009D37A0">
            <w:pPr>
              <w:spacing w:after="60"/>
              <w:jc w:val="left"/>
              <w:rPr>
                <w:rFonts w:asciiTheme="minorHAnsi" w:hAnsiTheme="minorHAnsi" w:cs="Calibri"/>
                <w:szCs w:val="24"/>
              </w:rPr>
            </w:pPr>
          </w:p>
          <w:p w:rsidR="00507EA4" w:rsidRDefault="00507EA4" w:rsidP="009D37A0">
            <w:pPr>
              <w:spacing w:after="60"/>
              <w:jc w:val="left"/>
              <w:rPr>
                <w:rFonts w:asciiTheme="minorHAnsi" w:hAnsiTheme="minorHAnsi" w:cs="Calibri"/>
                <w:szCs w:val="24"/>
              </w:rPr>
            </w:pPr>
            <w:r>
              <w:rPr>
                <w:rFonts w:asciiTheme="minorHAnsi" w:hAnsiTheme="minorHAnsi" w:cs="Calibri"/>
                <w:szCs w:val="24"/>
              </w:rPr>
              <w:t>Der henvises til kommentarerne til h</w:t>
            </w:r>
            <w:r>
              <w:rPr>
                <w:rFonts w:asciiTheme="minorHAnsi" w:hAnsiTheme="minorHAnsi" w:cs="Calibri"/>
                <w:szCs w:val="24"/>
              </w:rPr>
              <w:t>ø</w:t>
            </w:r>
            <w:r>
              <w:rPr>
                <w:rFonts w:asciiTheme="minorHAnsi" w:hAnsiTheme="minorHAnsi" w:cs="Calibri"/>
                <w:szCs w:val="24"/>
              </w:rPr>
              <w:t>ringssvarene fra Andelsboligforeninge</w:t>
            </w:r>
            <w:r>
              <w:rPr>
                <w:rFonts w:asciiTheme="minorHAnsi" w:hAnsiTheme="minorHAnsi" w:cs="Calibri"/>
                <w:szCs w:val="24"/>
              </w:rPr>
              <w:t>r</w:t>
            </w:r>
            <w:r>
              <w:rPr>
                <w:rFonts w:asciiTheme="minorHAnsi" w:hAnsiTheme="minorHAnsi" w:cs="Calibri"/>
                <w:szCs w:val="24"/>
              </w:rPr>
              <w:t>nes Fællesrepræsentation og fra Dansk Ejendomsmæglerforening.</w:t>
            </w:r>
          </w:p>
          <w:p w:rsidR="00507EA4" w:rsidRDefault="00507EA4" w:rsidP="009D37A0">
            <w:pPr>
              <w:spacing w:after="60"/>
              <w:jc w:val="left"/>
              <w:rPr>
                <w:rFonts w:asciiTheme="minorHAnsi" w:hAnsiTheme="minorHAnsi" w:cs="Calibri"/>
                <w:szCs w:val="24"/>
              </w:rPr>
            </w:pPr>
          </w:p>
          <w:p w:rsidR="00507EA4" w:rsidRDefault="00507EA4" w:rsidP="009D37A0">
            <w:pPr>
              <w:spacing w:after="60"/>
              <w:jc w:val="left"/>
              <w:rPr>
                <w:rFonts w:asciiTheme="minorHAnsi" w:hAnsiTheme="minorHAnsi" w:cs="Calibri"/>
                <w:szCs w:val="24"/>
              </w:rPr>
            </w:pPr>
          </w:p>
          <w:p w:rsidR="00507EA4" w:rsidRDefault="00507EA4" w:rsidP="009D37A0">
            <w:pPr>
              <w:spacing w:after="60"/>
              <w:jc w:val="left"/>
              <w:rPr>
                <w:rFonts w:asciiTheme="minorHAnsi" w:hAnsiTheme="minorHAnsi" w:cs="Calibri"/>
                <w:szCs w:val="24"/>
              </w:rPr>
            </w:pPr>
          </w:p>
          <w:p w:rsidR="00C114C5" w:rsidRDefault="00507EA4" w:rsidP="008215DD">
            <w:pPr>
              <w:spacing w:after="60"/>
              <w:jc w:val="left"/>
              <w:rPr>
                <w:rFonts w:asciiTheme="minorHAnsi" w:hAnsiTheme="minorHAnsi" w:cs="Calibri"/>
                <w:szCs w:val="24"/>
              </w:rPr>
            </w:pPr>
            <w:r>
              <w:rPr>
                <w:rFonts w:asciiTheme="minorHAnsi" w:hAnsiTheme="minorHAnsi" w:cs="Calibri"/>
                <w:szCs w:val="24"/>
              </w:rPr>
              <w:t>Rigsrevisionen tager udgangspunkt i vurderingerne fra 2009</w:t>
            </w:r>
            <w:r w:rsidR="008215DD">
              <w:rPr>
                <w:rFonts w:asciiTheme="minorHAnsi" w:hAnsiTheme="minorHAnsi" w:cs="Calibri"/>
                <w:szCs w:val="24"/>
              </w:rPr>
              <w:t xml:space="preserve"> og </w:t>
            </w:r>
            <w:r w:rsidR="006553D2">
              <w:rPr>
                <w:rFonts w:asciiTheme="minorHAnsi" w:hAnsiTheme="minorHAnsi" w:cs="Calibri"/>
                <w:szCs w:val="24"/>
              </w:rPr>
              <w:t>indregner tilsyneladende ikke</w:t>
            </w:r>
            <w:r w:rsidR="008215DD">
              <w:rPr>
                <w:rFonts w:asciiTheme="minorHAnsi" w:hAnsiTheme="minorHAnsi" w:cs="Calibri"/>
                <w:szCs w:val="24"/>
              </w:rPr>
              <w:t xml:space="preserve"> de stigninger, der skete i grundværdierne i 2011. Skattem</w:t>
            </w:r>
            <w:r w:rsidR="008215DD">
              <w:rPr>
                <w:rFonts w:asciiTheme="minorHAnsi" w:hAnsiTheme="minorHAnsi" w:cs="Calibri"/>
                <w:szCs w:val="24"/>
              </w:rPr>
              <w:t>i</w:t>
            </w:r>
            <w:r w:rsidR="008215DD">
              <w:rPr>
                <w:rFonts w:asciiTheme="minorHAnsi" w:hAnsiTheme="minorHAnsi" w:cs="Calibri"/>
                <w:szCs w:val="24"/>
              </w:rPr>
              <w:t>nisteriet</w:t>
            </w:r>
            <w:r w:rsidR="00C114C5">
              <w:rPr>
                <w:rFonts w:asciiTheme="minorHAnsi" w:hAnsiTheme="minorHAnsi" w:cs="Calibri"/>
                <w:szCs w:val="24"/>
              </w:rPr>
              <w:t xml:space="preserve"> medtager disse stigninger i sine beregninger.</w:t>
            </w:r>
          </w:p>
          <w:p w:rsidR="00C114C5" w:rsidRDefault="00C114C5"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r>
              <w:rPr>
                <w:rFonts w:asciiTheme="minorHAnsi" w:hAnsiTheme="minorHAnsi" w:cs="Calibri"/>
                <w:szCs w:val="24"/>
              </w:rPr>
              <w:t>Der henvises til kommentaren til h</w:t>
            </w:r>
            <w:r>
              <w:rPr>
                <w:rFonts w:asciiTheme="minorHAnsi" w:hAnsiTheme="minorHAnsi" w:cs="Calibri"/>
                <w:szCs w:val="24"/>
              </w:rPr>
              <w:t>ø</w:t>
            </w:r>
            <w:r>
              <w:rPr>
                <w:rFonts w:asciiTheme="minorHAnsi" w:hAnsiTheme="minorHAnsi" w:cs="Calibri"/>
                <w:szCs w:val="24"/>
              </w:rPr>
              <w:t>ringssvaret fra Dansk Ejendomsmægle</w:t>
            </w:r>
            <w:r>
              <w:rPr>
                <w:rFonts w:asciiTheme="minorHAnsi" w:hAnsiTheme="minorHAnsi" w:cs="Calibri"/>
                <w:szCs w:val="24"/>
              </w:rPr>
              <w:t>r</w:t>
            </w:r>
            <w:r>
              <w:rPr>
                <w:rFonts w:asciiTheme="minorHAnsi" w:hAnsiTheme="minorHAnsi" w:cs="Calibri"/>
                <w:szCs w:val="24"/>
              </w:rPr>
              <w:t>forening.</w:t>
            </w: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r>
              <w:rPr>
                <w:rFonts w:asciiTheme="minorHAnsi" w:hAnsiTheme="minorHAnsi" w:cs="Calibri"/>
                <w:szCs w:val="24"/>
              </w:rPr>
              <w:t>Der henvises til kommentarerne til h</w:t>
            </w:r>
            <w:r>
              <w:rPr>
                <w:rFonts w:asciiTheme="minorHAnsi" w:hAnsiTheme="minorHAnsi" w:cs="Calibri"/>
                <w:szCs w:val="24"/>
              </w:rPr>
              <w:t>ø</w:t>
            </w:r>
            <w:r>
              <w:rPr>
                <w:rFonts w:asciiTheme="minorHAnsi" w:hAnsiTheme="minorHAnsi" w:cs="Calibri"/>
                <w:szCs w:val="24"/>
              </w:rPr>
              <w:lastRenderedPageBreak/>
              <w:t>ringssvaret fra Andelsboligforeningernes Fællesrepræsentation.</w:t>
            </w: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r>
              <w:rPr>
                <w:rFonts w:asciiTheme="minorHAnsi" w:hAnsiTheme="minorHAnsi" w:cs="Calibri"/>
                <w:szCs w:val="24"/>
              </w:rPr>
              <w:t>Der henvises til kommentarerne til h</w:t>
            </w:r>
            <w:r>
              <w:rPr>
                <w:rFonts w:asciiTheme="minorHAnsi" w:hAnsiTheme="minorHAnsi" w:cs="Calibri"/>
                <w:szCs w:val="24"/>
              </w:rPr>
              <w:t>ø</w:t>
            </w:r>
            <w:r>
              <w:rPr>
                <w:rFonts w:asciiTheme="minorHAnsi" w:hAnsiTheme="minorHAnsi" w:cs="Calibri"/>
                <w:szCs w:val="24"/>
              </w:rPr>
              <w:t>ringssvaret fra Andelsboligforeningernes Fællesrepræsentation.</w:t>
            </w: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Default="008215DD" w:rsidP="008215DD">
            <w:pPr>
              <w:spacing w:after="60"/>
              <w:jc w:val="left"/>
              <w:rPr>
                <w:rFonts w:asciiTheme="minorHAnsi" w:hAnsiTheme="minorHAnsi" w:cs="Calibri"/>
                <w:szCs w:val="24"/>
              </w:rPr>
            </w:pPr>
          </w:p>
          <w:p w:rsidR="008215DD" w:rsidRPr="0051644C" w:rsidRDefault="008215DD" w:rsidP="008215DD">
            <w:pPr>
              <w:spacing w:after="60"/>
              <w:jc w:val="left"/>
              <w:rPr>
                <w:rFonts w:asciiTheme="minorHAnsi" w:hAnsiTheme="minorHAnsi" w:cs="Calibri"/>
                <w:szCs w:val="24"/>
              </w:rPr>
            </w:pPr>
            <w:r>
              <w:rPr>
                <w:rFonts w:asciiTheme="minorHAnsi" w:hAnsiTheme="minorHAnsi" w:cs="Calibri"/>
                <w:szCs w:val="24"/>
              </w:rPr>
              <w:t>Der henvises til kommentarerne til h</w:t>
            </w:r>
            <w:r>
              <w:rPr>
                <w:rFonts w:asciiTheme="minorHAnsi" w:hAnsiTheme="minorHAnsi" w:cs="Calibri"/>
                <w:szCs w:val="24"/>
              </w:rPr>
              <w:t>ø</w:t>
            </w:r>
            <w:r>
              <w:rPr>
                <w:rFonts w:asciiTheme="minorHAnsi" w:hAnsiTheme="minorHAnsi" w:cs="Calibri"/>
                <w:szCs w:val="24"/>
              </w:rPr>
              <w:t>ringssvaret fra Advokatsamfundet.</w:t>
            </w:r>
          </w:p>
        </w:tc>
      </w:tr>
    </w:tbl>
    <w:p w:rsidR="008620B1" w:rsidRPr="00D97706" w:rsidRDefault="008620B1" w:rsidP="006E1C89">
      <w:pPr>
        <w:rPr>
          <w:rFonts w:ascii="Calibri" w:hAnsi="Calibri" w:cs="Calibri"/>
          <w:sz w:val="18"/>
          <w:szCs w:val="18"/>
          <w:lang w:eastAsia="da-DK"/>
        </w:rPr>
      </w:pPr>
    </w:p>
    <w:sectPr w:rsidR="008620B1" w:rsidRPr="00D97706" w:rsidSect="00E23A98">
      <w:footerReference w:type="default" r:id="rId9"/>
      <w:headerReference w:type="first" r:id="rId10"/>
      <w:footerReference w:type="first" r:id="rId11"/>
      <w:pgSz w:w="11906" w:h="16838" w:code="9"/>
      <w:pgMar w:top="993" w:right="3175"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436" w:rsidRDefault="00546436" w:rsidP="00431D4B">
      <w:r>
        <w:separator/>
      </w:r>
    </w:p>
  </w:endnote>
  <w:endnote w:type="continuationSeparator" w:id="0">
    <w:p w:rsidR="00546436" w:rsidRDefault="00546436" w:rsidP="0043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A4" w:rsidRPr="00295C4C" w:rsidRDefault="00507EA4">
    <w:pPr>
      <w:pStyle w:val="Sidefod"/>
      <w:rPr>
        <w:rFonts w:ascii="Calibri" w:hAnsi="Calibri" w:cs="Calibri"/>
        <w:sz w:val="20"/>
        <w:szCs w:val="20"/>
      </w:rPr>
    </w:pPr>
    <w:r w:rsidRPr="00295C4C">
      <w:rPr>
        <w:rFonts w:ascii="Calibri" w:hAnsi="Calibri" w:cs="Calibri"/>
        <w:sz w:val="20"/>
        <w:szCs w:val="20"/>
      </w:rPr>
      <w:fldChar w:fldCharType="begin"/>
    </w:r>
    <w:r w:rsidRPr="00295C4C">
      <w:rPr>
        <w:rFonts w:ascii="Calibri" w:hAnsi="Calibri" w:cs="Calibri"/>
        <w:sz w:val="20"/>
        <w:szCs w:val="20"/>
      </w:rPr>
      <w:instrText>PAGE   \* MERGEFORMAT</w:instrText>
    </w:r>
    <w:r w:rsidRPr="00295C4C">
      <w:rPr>
        <w:rFonts w:ascii="Calibri" w:hAnsi="Calibri" w:cs="Calibri"/>
        <w:sz w:val="20"/>
        <w:szCs w:val="20"/>
      </w:rPr>
      <w:fldChar w:fldCharType="separate"/>
    </w:r>
    <w:r w:rsidR="00381F0A">
      <w:rPr>
        <w:rFonts w:ascii="Calibri" w:hAnsi="Calibri" w:cs="Calibri"/>
        <w:noProof/>
        <w:sz w:val="20"/>
        <w:szCs w:val="20"/>
      </w:rPr>
      <w:t>3</w:t>
    </w:r>
    <w:r w:rsidRPr="00295C4C">
      <w:rPr>
        <w:rFonts w:ascii="Calibri" w:hAnsi="Calibri" w:cs="Calibri"/>
        <w:sz w:val="20"/>
        <w:szCs w:val="20"/>
      </w:rPr>
      <w:fldChar w:fldCharType="end"/>
    </w:r>
    <w:r w:rsidRPr="00295C4C">
      <w:rPr>
        <w:rFonts w:ascii="Calibri" w:hAnsi="Calibri" w:cs="Calibri"/>
        <w:sz w:val="20"/>
        <w:szCs w:val="20"/>
      </w:rPr>
      <w:t xml:space="preserve"> / </w:t>
    </w:r>
    <w:r w:rsidRPr="00295C4C">
      <w:rPr>
        <w:rFonts w:ascii="Calibri" w:hAnsi="Calibri" w:cs="Calibri"/>
        <w:sz w:val="20"/>
        <w:szCs w:val="20"/>
      </w:rPr>
      <w:fldChar w:fldCharType="begin"/>
    </w:r>
    <w:r w:rsidRPr="00295C4C">
      <w:rPr>
        <w:rFonts w:ascii="Calibri" w:hAnsi="Calibri" w:cs="Calibri"/>
        <w:sz w:val="20"/>
        <w:szCs w:val="20"/>
      </w:rPr>
      <w:instrText xml:space="preserve"> NUMPAGES  \# "0" \* Arabic  \* MERGEFORMAT </w:instrText>
    </w:r>
    <w:r w:rsidRPr="00295C4C">
      <w:rPr>
        <w:rFonts w:ascii="Calibri" w:hAnsi="Calibri" w:cs="Calibri"/>
        <w:sz w:val="20"/>
        <w:szCs w:val="20"/>
      </w:rPr>
      <w:fldChar w:fldCharType="separate"/>
    </w:r>
    <w:r w:rsidR="00381F0A">
      <w:rPr>
        <w:rFonts w:ascii="Calibri" w:hAnsi="Calibri" w:cs="Calibri"/>
        <w:noProof/>
        <w:sz w:val="20"/>
        <w:szCs w:val="20"/>
      </w:rPr>
      <w:t>3</w:t>
    </w:r>
    <w:r w:rsidRPr="00295C4C">
      <w:rPr>
        <w:rFonts w:ascii="Calibri" w:hAnsi="Calibri" w:cs="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A4" w:rsidRPr="00AD7E07" w:rsidRDefault="00507EA4">
    <w:pPr>
      <w:pStyle w:val="Sidefod"/>
      <w:rPr>
        <w:rFonts w:ascii="Calibri" w:hAnsi="Calibri" w:cs="Calibri"/>
        <w:sz w:val="20"/>
        <w:szCs w:val="20"/>
      </w:rPr>
    </w:pPr>
    <w:r w:rsidRPr="00AD7E07">
      <w:rPr>
        <w:rFonts w:ascii="Calibri" w:hAnsi="Calibri" w:cs="Calibri"/>
        <w:sz w:val="20"/>
        <w:szCs w:val="20"/>
      </w:rPr>
      <w:fldChar w:fldCharType="begin"/>
    </w:r>
    <w:r w:rsidRPr="00AD7E07">
      <w:rPr>
        <w:rFonts w:ascii="Calibri" w:hAnsi="Calibri" w:cs="Calibri"/>
        <w:sz w:val="20"/>
        <w:szCs w:val="20"/>
      </w:rPr>
      <w:instrText>PAGE   \* MERGEFORMAT</w:instrText>
    </w:r>
    <w:r w:rsidRPr="00AD7E07">
      <w:rPr>
        <w:rFonts w:ascii="Calibri" w:hAnsi="Calibri" w:cs="Calibri"/>
        <w:sz w:val="20"/>
        <w:szCs w:val="20"/>
      </w:rPr>
      <w:fldChar w:fldCharType="separate"/>
    </w:r>
    <w:r w:rsidR="00381F0A">
      <w:rPr>
        <w:rFonts w:ascii="Calibri" w:hAnsi="Calibri" w:cs="Calibri"/>
        <w:noProof/>
        <w:sz w:val="20"/>
        <w:szCs w:val="20"/>
      </w:rPr>
      <w:t>1</w:t>
    </w:r>
    <w:r w:rsidRPr="00AD7E07">
      <w:rPr>
        <w:rFonts w:ascii="Calibri" w:hAnsi="Calibri" w:cs="Calibri"/>
        <w:sz w:val="20"/>
        <w:szCs w:val="20"/>
      </w:rPr>
      <w:fldChar w:fldCharType="end"/>
    </w:r>
    <w:r w:rsidRPr="00AD7E07">
      <w:rPr>
        <w:rFonts w:ascii="Calibri" w:hAnsi="Calibri" w:cs="Calibri"/>
        <w:sz w:val="20"/>
        <w:szCs w:val="20"/>
      </w:rPr>
      <w:t xml:space="preserve"> / </w:t>
    </w:r>
    <w:r w:rsidRPr="00AD7E07">
      <w:rPr>
        <w:rFonts w:ascii="Calibri" w:hAnsi="Calibri" w:cs="Calibri"/>
        <w:sz w:val="20"/>
        <w:szCs w:val="20"/>
      </w:rPr>
      <w:fldChar w:fldCharType="begin"/>
    </w:r>
    <w:r w:rsidRPr="00AD7E07">
      <w:rPr>
        <w:rFonts w:ascii="Calibri" w:hAnsi="Calibri" w:cs="Calibri"/>
        <w:sz w:val="20"/>
        <w:szCs w:val="20"/>
      </w:rPr>
      <w:instrText xml:space="preserve"> NUMPAGES  \# "0" \* Arabic  \* MERGEFORMAT </w:instrText>
    </w:r>
    <w:r w:rsidRPr="00AD7E07">
      <w:rPr>
        <w:rFonts w:ascii="Calibri" w:hAnsi="Calibri" w:cs="Calibri"/>
        <w:sz w:val="20"/>
        <w:szCs w:val="20"/>
      </w:rPr>
      <w:fldChar w:fldCharType="separate"/>
    </w:r>
    <w:r w:rsidR="00381F0A">
      <w:rPr>
        <w:rFonts w:ascii="Calibri" w:hAnsi="Calibri" w:cs="Calibri"/>
        <w:noProof/>
        <w:sz w:val="20"/>
        <w:szCs w:val="20"/>
      </w:rPr>
      <w:t>3</w:t>
    </w:r>
    <w:r w:rsidRPr="00AD7E07">
      <w:rPr>
        <w:rFonts w:ascii="Calibri" w:hAnsi="Calibri" w:cs="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436" w:rsidRDefault="00546436" w:rsidP="00431D4B">
      <w:r>
        <w:separator/>
      </w:r>
    </w:p>
  </w:footnote>
  <w:footnote w:type="continuationSeparator" w:id="0">
    <w:p w:rsidR="00546436" w:rsidRDefault="00546436" w:rsidP="00431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EA4" w:rsidRDefault="00507EA4">
    <w:pPr>
      <w:pStyle w:val="Sidehoved"/>
    </w:pPr>
  </w:p>
  <w:p w:rsidR="00507EA4" w:rsidRDefault="00507EA4">
    <w:pPr>
      <w:pStyle w:val="Sidehoved"/>
    </w:pPr>
  </w:p>
  <w:p w:rsidR="00507EA4" w:rsidRDefault="00507EA4">
    <w:pPr>
      <w:pStyle w:val="Sidehoved"/>
    </w:pPr>
  </w:p>
  <w:p w:rsidR="00507EA4" w:rsidRDefault="00507EA4">
    <w:pPr>
      <w:pStyle w:val="Sidehoved"/>
    </w:pPr>
  </w:p>
  <w:p w:rsidR="00507EA4" w:rsidRDefault="00507EA4">
    <w:pPr>
      <w:pStyle w:val="Sidehoved"/>
    </w:pPr>
  </w:p>
  <w:p w:rsidR="00507EA4" w:rsidRDefault="00507EA4">
    <w:pPr>
      <w:pStyle w:val="Sidehoved"/>
    </w:pPr>
  </w:p>
  <w:p w:rsidR="00507EA4" w:rsidRDefault="00507EA4">
    <w:pPr>
      <w:pStyle w:val="Sidehoved"/>
    </w:pPr>
  </w:p>
  <w:p w:rsidR="00507EA4" w:rsidRDefault="00507EA4">
    <w:pPr>
      <w:pStyle w:val="Sidehoved"/>
    </w:pPr>
  </w:p>
  <w:p w:rsidR="00507EA4" w:rsidRDefault="00507EA4">
    <w:pPr>
      <w:pStyle w:val="Sidehoved"/>
    </w:pPr>
  </w:p>
  <w:p w:rsidR="00507EA4" w:rsidRDefault="00507EA4">
    <w:pPr>
      <w:pStyle w:val="Sidehoved"/>
    </w:pPr>
  </w:p>
  <w:p w:rsidR="00507EA4" w:rsidRDefault="00507EA4">
    <w:pPr>
      <w:pStyle w:val="Sidehoved"/>
    </w:pPr>
  </w:p>
  <w:p w:rsidR="00507EA4" w:rsidRDefault="00507EA4">
    <w:pPr>
      <w:pStyle w:val="Sidehoved"/>
    </w:pPr>
  </w:p>
  <w:p w:rsidR="00507EA4" w:rsidRDefault="00507EA4">
    <w:pPr>
      <w:pStyle w:val="Sidehoved"/>
    </w:pPr>
    <w:r>
      <w:rPr>
        <w:noProof/>
        <w:lang w:eastAsia="da-DK"/>
      </w:rPr>
      <w:drawing>
        <wp:anchor distT="0" distB="0" distL="114300" distR="114300" simplePos="0" relativeHeight="251659264" behindDoc="0" locked="1" layoutInCell="1" allowOverlap="1" wp14:anchorId="76A17CBB" wp14:editId="2C3AFEA8">
          <wp:simplePos x="0" y="0"/>
          <wp:positionH relativeFrom="rightMargin">
            <wp:posOffset>-2012950</wp:posOffset>
          </wp:positionH>
          <wp:positionV relativeFrom="page">
            <wp:posOffset>323850</wp:posOffset>
          </wp:positionV>
          <wp:extent cx="2088000" cy="619200"/>
          <wp:effectExtent l="0" t="0" r="0" b="0"/>
          <wp:wrapSquare wrapText="bothSides"/>
          <wp:docPr id="2" name="Billede 2" descr="C:\Skat\Skm\SKM_CMYK.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kat\Skm\SKM_CMYK.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80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02F9D"/>
    <w:multiLevelType w:val="hybridMultilevel"/>
    <w:tmpl w:val="C83AE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12A3533"/>
    <w:multiLevelType w:val="hybridMultilevel"/>
    <w:tmpl w:val="1572369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67"/>
    <w:rsid w:val="00001311"/>
    <w:rsid w:val="00040B5B"/>
    <w:rsid w:val="00047FE5"/>
    <w:rsid w:val="00053A9B"/>
    <w:rsid w:val="000614B4"/>
    <w:rsid w:val="00077668"/>
    <w:rsid w:val="000905B9"/>
    <w:rsid w:val="0009294A"/>
    <w:rsid w:val="000A0CEF"/>
    <w:rsid w:val="000D6E69"/>
    <w:rsid w:val="000E2C37"/>
    <w:rsid w:val="000E614B"/>
    <w:rsid w:val="000F7B05"/>
    <w:rsid w:val="00114964"/>
    <w:rsid w:val="00130442"/>
    <w:rsid w:val="001409D4"/>
    <w:rsid w:val="00151AD8"/>
    <w:rsid w:val="001F1906"/>
    <w:rsid w:val="00204BD9"/>
    <w:rsid w:val="00210A2E"/>
    <w:rsid w:val="002164D4"/>
    <w:rsid w:val="00271300"/>
    <w:rsid w:val="00292B73"/>
    <w:rsid w:val="00292D4D"/>
    <w:rsid w:val="00293255"/>
    <w:rsid w:val="00295C4C"/>
    <w:rsid w:val="002A2B99"/>
    <w:rsid w:val="002A4613"/>
    <w:rsid w:val="002B557C"/>
    <w:rsid w:val="002B7D29"/>
    <w:rsid w:val="002D3162"/>
    <w:rsid w:val="0030541F"/>
    <w:rsid w:val="003171A6"/>
    <w:rsid w:val="00372AFB"/>
    <w:rsid w:val="00381F0A"/>
    <w:rsid w:val="00390510"/>
    <w:rsid w:val="003B3EC2"/>
    <w:rsid w:val="003E16FE"/>
    <w:rsid w:val="003F120D"/>
    <w:rsid w:val="00421F40"/>
    <w:rsid w:val="00431D4B"/>
    <w:rsid w:val="00434584"/>
    <w:rsid w:val="00451855"/>
    <w:rsid w:val="00453EA3"/>
    <w:rsid w:val="00461F2E"/>
    <w:rsid w:val="004724B8"/>
    <w:rsid w:val="00481547"/>
    <w:rsid w:val="00485F0D"/>
    <w:rsid w:val="0048702A"/>
    <w:rsid w:val="00490490"/>
    <w:rsid w:val="004B2435"/>
    <w:rsid w:val="004B6BDD"/>
    <w:rsid w:val="004E74AA"/>
    <w:rsid w:val="004F7D52"/>
    <w:rsid w:val="00507D3B"/>
    <w:rsid w:val="00507EA4"/>
    <w:rsid w:val="00511EDB"/>
    <w:rsid w:val="00513DEB"/>
    <w:rsid w:val="0051644C"/>
    <w:rsid w:val="00516D8C"/>
    <w:rsid w:val="0052064B"/>
    <w:rsid w:val="00546436"/>
    <w:rsid w:val="00596D81"/>
    <w:rsid w:val="005D3567"/>
    <w:rsid w:val="006227B0"/>
    <w:rsid w:val="006333F7"/>
    <w:rsid w:val="00646243"/>
    <w:rsid w:val="006553D2"/>
    <w:rsid w:val="006640A4"/>
    <w:rsid w:val="00675483"/>
    <w:rsid w:val="00683DCB"/>
    <w:rsid w:val="006B38B0"/>
    <w:rsid w:val="006B61A1"/>
    <w:rsid w:val="006E1C89"/>
    <w:rsid w:val="006E78F8"/>
    <w:rsid w:val="007028CC"/>
    <w:rsid w:val="00733868"/>
    <w:rsid w:val="00735751"/>
    <w:rsid w:val="0079590A"/>
    <w:rsid w:val="007B3F83"/>
    <w:rsid w:val="007D1FCB"/>
    <w:rsid w:val="008215DD"/>
    <w:rsid w:val="0083219F"/>
    <w:rsid w:val="0085657A"/>
    <w:rsid w:val="008620B1"/>
    <w:rsid w:val="008653D5"/>
    <w:rsid w:val="00907893"/>
    <w:rsid w:val="00934D6E"/>
    <w:rsid w:val="00980121"/>
    <w:rsid w:val="009959AA"/>
    <w:rsid w:val="009D37A0"/>
    <w:rsid w:val="009D79DB"/>
    <w:rsid w:val="00A02E52"/>
    <w:rsid w:val="00A25227"/>
    <w:rsid w:val="00A30173"/>
    <w:rsid w:val="00A315F2"/>
    <w:rsid w:val="00A32367"/>
    <w:rsid w:val="00A5005E"/>
    <w:rsid w:val="00A50F89"/>
    <w:rsid w:val="00A53E0D"/>
    <w:rsid w:val="00A85CF2"/>
    <w:rsid w:val="00AA7C3B"/>
    <w:rsid w:val="00AB73C8"/>
    <w:rsid w:val="00AD7E07"/>
    <w:rsid w:val="00B2692D"/>
    <w:rsid w:val="00B32E57"/>
    <w:rsid w:val="00B76181"/>
    <w:rsid w:val="00BA7E74"/>
    <w:rsid w:val="00BC5D4C"/>
    <w:rsid w:val="00BD0A5C"/>
    <w:rsid w:val="00C02547"/>
    <w:rsid w:val="00C114C5"/>
    <w:rsid w:val="00C45C2B"/>
    <w:rsid w:val="00C6362E"/>
    <w:rsid w:val="00C942E1"/>
    <w:rsid w:val="00CC0582"/>
    <w:rsid w:val="00CC135F"/>
    <w:rsid w:val="00CE2C69"/>
    <w:rsid w:val="00D66306"/>
    <w:rsid w:val="00D8615D"/>
    <w:rsid w:val="00D97706"/>
    <w:rsid w:val="00DA04B1"/>
    <w:rsid w:val="00E23A98"/>
    <w:rsid w:val="00EB3F9A"/>
    <w:rsid w:val="00F20B70"/>
    <w:rsid w:val="00F333CA"/>
    <w:rsid w:val="00F34C54"/>
    <w:rsid w:val="00F6444A"/>
    <w:rsid w:val="00F720D8"/>
    <w:rsid w:val="00F971D6"/>
    <w:rsid w:val="00FA0956"/>
    <w:rsid w:val="00FB59A5"/>
    <w:rsid w:val="00FC26F8"/>
    <w:rsid w:val="00FC7C4C"/>
    <w:rsid w:val="00FE1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7"/>
    <w:pPr>
      <w:spacing w:line="240" w:lineRule="auto"/>
      <w:jc w:val="both"/>
    </w:pPr>
    <w:rPr>
      <w:rFonts w:ascii="Garamond" w:hAnsi="Garamond"/>
      <w:sz w:val="24"/>
    </w:rPr>
  </w:style>
  <w:style w:type="paragraph" w:styleId="Overskrift1">
    <w:name w:val="heading 1"/>
    <w:basedOn w:val="Normal"/>
    <w:next w:val="Normal"/>
    <w:link w:val="Overskrift1Tegn"/>
    <w:qFormat/>
    <w:rsid w:val="009959AA"/>
    <w:pPr>
      <w:keepLines/>
      <w:spacing w:line="360" w:lineRule="exact"/>
      <w:jc w:val="left"/>
      <w:outlineLvl w:val="0"/>
    </w:pPr>
    <w:rPr>
      <w:rFonts w:ascii="Calibri" w:eastAsia="Times New Roman" w:hAnsi="Calibri" w:cs="Arial"/>
      <w:bCs/>
      <w:sz w:val="32"/>
      <w:szCs w:val="32"/>
      <w:lang w:eastAsia="da-DK"/>
    </w:rPr>
  </w:style>
  <w:style w:type="paragraph" w:styleId="Overskrift2">
    <w:name w:val="heading 2"/>
    <w:basedOn w:val="Normal"/>
    <w:next w:val="Normal"/>
    <w:link w:val="Overskrift2Tegn"/>
    <w:qFormat/>
    <w:rsid w:val="009959AA"/>
    <w:pPr>
      <w:keepLines/>
      <w:suppressAutoHyphens/>
      <w:spacing w:before="240" w:line="288" w:lineRule="exact"/>
      <w:jc w:val="left"/>
      <w:outlineLvl w:val="1"/>
    </w:pPr>
    <w:rPr>
      <w:rFonts w:ascii="Calibri" w:eastAsia="Times New Roman" w:hAnsi="Calibri" w:cs="Arial"/>
      <w:bCs/>
      <w:iCs/>
      <w:sz w:val="26"/>
      <w:szCs w:val="28"/>
      <w:lang w:eastAsia="da-DK"/>
    </w:rPr>
  </w:style>
  <w:style w:type="paragraph" w:styleId="Overskrift3">
    <w:name w:val="heading 3"/>
    <w:basedOn w:val="Normal"/>
    <w:next w:val="Normal"/>
    <w:link w:val="Overskrift3Tegn"/>
    <w:qFormat/>
    <w:rsid w:val="009959AA"/>
    <w:pPr>
      <w:keepNext/>
      <w:spacing w:before="240" w:after="60" w:line="288" w:lineRule="exact"/>
      <w:jc w:val="left"/>
      <w:outlineLvl w:val="2"/>
    </w:pPr>
    <w:rPr>
      <w:rFonts w:ascii="Calibri" w:eastAsia="Times New Roman" w:hAnsi="Calibri" w:cs="Arial"/>
      <w:bCs/>
      <w:sz w:val="22"/>
      <w:szCs w:val="26"/>
      <w:lang w:eastAsia="da-DK"/>
    </w:rPr>
  </w:style>
  <w:style w:type="paragraph" w:styleId="Overskrift4">
    <w:name w:val="heading 4"/>
    <w:basedOn w:val="Normal"/>
    <w:next w:val="Normal"/>
    <w:link w:val="Overskrift4Tegn"/>
    <w:qFormat/>
    <w:rsid w:val="000614B4"/>
    <w:pPr>
      <w:keepLines/>
      <w:suppressAutoHyphens/>
      <w:spacing w:line="288" w:lineRule="exact"/>
      <w:outlineLvl w:val="3"/>
    </w:pPr>
    <w:rPr>
      <w:rFonts w:eastAsia="Times New Roman" w:cs="Times New Roman"/>
      <w:bCs/>
      <w:i/>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959AA"/>
    <w:rPr>
      <w:rFonts w:ascii="Calibri" w:eastAsia="Times New Roman" w:hAnsi="Calibri" w:cs="Arial"/>
      <w:bCs/>
      <w:sz w:val="32"/>
      <w:szCs w:val="32"/>
      <w:lang w:eastAsia="da-DK"/>
    </w:rPr>
  </w:style>
  <w:style w:type="character" w:customStyle="1" w:styleId="Overskrift2Tegn">
    <w:name w:val="Overskrift 2 Tegn"/>
    <w:basedOn w:val="Standardskrifttypeiafsnit"/>
    <w:link w:val="Overskrift2"/>
    <w:rsid w:val="009959AA"/>
    <w:rPr>
      <w:rFonts w:ascii="Calibri" w:eastAsia="Times New Roman" w:hAnsi="Calibri" w:cs="Arial"/>
      <w:bCs/>
      <w:iCs/>
      <w:sz w:val="26"/>
      <w:szCs w:val="28"/>
      <w:lang w:eastAsia="da-DK"/>
    </w:rPr>
  </w:style>
  <w:style w:type="character" w:customStyle="1" w:styleId="Overskrift3Tegn">
    <w:name w:val="Overskrift 3 Tegn"/>
    <w:basedOn w:val="Standardskrifttypeiafsnit"/>
    <w:link w:val="Overskrift3"/>
    <w:rsid w:val="009959AA"/>
    <w:rPr>
      <w:rFonts w:ascii="Calibri" w:eastAsia="Times New Roman" w:hAnsi="Calibri" w:cs="Arial"/>
      <w:bCs/>
      <w:szCs w:val="26"/>
      <w:lang w:eastAsia="da-DK"/>
    </w:rPr>
  </w:style>
  <w:style w:type="character" w:customStyle="1" w:styleId="Overskrift4Tegn">
    <w:name w:val="Overskrift 4 Tegn"/>
    <w:basedOn w:val="Standardskrifttypeiafsnit"/>
    <w:link w:val="Overskrift4"/>
    <w:rsid w:val="000614B4"/>
    <w:rPr>
      <w:rFonts w:ascii="Times New Roman" w:eastAsia="Times New Roman" w:hAnsi="Times New Roman" w:cs="Times New Roman"/>
      <w:bCs/>
      <w:i/>
      <w:sz w:val="24"/>
      <w:szCs w:val="28"/>
      <w:lang w:eastAsia="da-DK"/>
    </w:rPr>
  </w:style>
  <w:style w:type="paragraph" w:styleId="Markeringsbobletekst">
    <w:name w:val="Balloon Text"/>
    <w:basedOn w:val="Normal"/>
    <w:link w:val="MarkeringsbobletekstTegn"/>
    <w:uiPriority w:val="99"/>
    <w:semiHidden/>
    <w:unhideWhenUsed/>
    <w:rsid w:val="004E74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4AA"/>
    <w:rPr>
      <w:rFonts w:ascii="Tahoma" w:hAnsi="Tahoma" w:cs="Tahoma"/>
      <w:sz w:val="16"/>
      <w:szCs w:val="16"/>
    </w:rPr>
  </w:style>
  <w:style w:type="paragraph" w:styleId="Sidehoved">
    <w:name w:val="header"/>
    <w:basedOn w:val="Normal"/>
    <w:link w:val="SidehovedTegn"/>
    <w:unhideWhenUsed/>
    <w:rsid w:val="00431D4B"/>
    <w:pPr>
      <w:tabs>
        <w:tab w:val="center" w:pos="4819"/>
        <w:tab w:val="right" w:pos="9638"/>
      </w:tabs>
    </w:pPr>
  </w:style>
  <w:style w:type="character" w:customStyle="1" w:styleId="SidehovedTegn">
    <w:name w:val="Sidehoved Tegn"/>
    <w:basedOn w:val="Standardskrifttypeiafsnit"/>
    <w:link w:val="Sidehoved"/>
    <w:uiPriority w:val="99"/>
    <w:rsid w:val="00431D4B"/>
    <w:rPr>
      <w:rFonts w:ascii="Times New Roman" w:hAnsi="Times New Roman"/>
      <w:sz w:val="24"/>
    </w:rPr>
  </w:style>
  <w:style w:type="paragraph" w:styleId="Sidefod">
    <w:name w:val="footer"/>
    <w:basedOn w:val="Normal"/>
    <w:link w:val="SidefodTegn"/>
    <w:uiPriority w:val="99"/>
    <w:unhideWhenUsed/>
    <w:rsid w:val="00431D4B"/>
    <w:pPr>
      <w:tabs>
        <w:tab w:val="center" w:pos="4819"/>
        <w:tab w:val="right" w:pos="9638"/>
      </w:tabs>
    </w:pPr>
  </w:style>
  <w:style w:type="character" w:customStyle="1" w:styleId="SidefodTegn">
    <w:name w:val="Sidefod Tegn"/>
    <w:basedOn w:val="Standardskrifttypeiafsnit"/>
    <w:link w:val="Sidefod"/>
    <w:uiPriority w:val="99"/>
    <w:rsid w:val="00431D4B"/>
    <w:rPr>
      <w:rFonts w:ascii="Times New Roman" w:hAnsi="Times New Roman"/>
      <w:sz w:val="24"/>
    </w:rPr>
  </w:style>
  <w:style w:type="character" w:styleId="Pladsholdertekst">
    <w:name w:val="Placeholder Text"/>
    <w:basedOn w:val="Standardskrifttypeiafsnit"/>
    <w:uiPriority w:val="99"/>
    <w:semiHidden/>
    <w:rsid w:val="00F333CA"/>
    <w:rPr>
      <w:color w:val="808080"/>
    </w:rPr>
  </w:style>
  <w:style w:type="table" w:styleId="Tabel-Gitter">
    <w:name w:val="Table Grid"/>
    <w:basedOn w:val="Tabel-Normal"/>
    <w:uiPriority w:val="59"/>
    <w:rsid w:val="009801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ementtekst">
    <w:name w:val="Departement tekst"/>
    <w:rsid w:val="00596D81"/>
    <w:pPr>
      <w:spacing w:after="130" w:line="240" w:lineRule="auto"/>
    </w:pPr>
    <w:rPr>
      <w:rFonts w:ascii="Verdana" w:eastAsia="Times New Roman" w:hAnsi="Verdana" w:cs="Times New Roman"/>
      <w:sz w:val="17"/>
      <w:szCs w:val="24"/>
      <w:lang w:eastAsia="da-DK"/>
    </w:rPr>
  </w:style>
  <w:style w:type="character" w:styleId="Hyperlink">
    <w:name w:val="Hyperlink"/>
    <w:basedOn w:val="Standardskrifttypeiafsnit"/>
    <w:uiPriority w:val="99"/>
    <w:unhideWhenUsed/>
    <w:rsid w:val="00481547"/>
    <w:rPr>
      <w:color w:val="0000FF" w:themeColor="hyperlink"/>
      <w:u w:val="single"/>
    </w:rPr>
  </w:style>
  <w:style w:type="paragraph" w:styleId="Listeafsnit">
    <w:name w:val="List Paragraph"/>
    <w:basedOn w:val="Normal"/>
    <w:uiPriority w:val="34"/>
    <w:qFormat/>
    <w:rsid w:val="009D3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47"/>
    <w:pPr>
      <w:spacing w:line="240" w:lineRule="auto"/>
      <w:jc w:val="both"/>
    </w:pPr>
    <w:rPr>
      <w:rFonts w:ascii="Garamond" w:hAnsi="Garamond"/>
      <w:sz w:val="24"/>
    </w:rPr>
  </w:style>
  <w:style w:type="paragraph" w:styleId="Overskrift1">
    <w:name w:val="heading 1"/>
    <w:basedOn w:val="Normal"/>
    <w:next w:val="Normal"/>
    <w:link w:val="Overskrift1Tegn"/>
    <w:qFormat/>
    <w:rsid w:val="009959AA"/>
    <w:pPr>
      <w:keepLines/>
      <w:spacing w:line="360" w:lineRule="exact"/>
      <w:jc w:val="left"/>
      <w:outlineLvl w:val="0"/>
    </w:pPr>
    <w:rPr>
      <w:rFonts w:ascii="Calibri" w:eastAsia="Times New Roman" w:hAnsi="Calibri" w:cs="Arial"/>
      <w:bCs/>
      <w:sz w:val="32"/>
      <w:szCs w:val="32"/>
      <w:lang w:eastAsia="da-DK"/>
    </w:rPr>
  </w:style>
  <w:style w:type="paragraph" w:styleId="Overskrift2">
    <w:name w:val="heading 2"/>
    <w:basedOn w:val="Normal"/>
    <w:next w:val="Normal"/>
    <w:link w:val="Overskrift2Tegn"/>
    <w:qFormat/>
    <w:rsid w:val="009959AA"/>
    <w:pPr>
      <w:keepLines/>
      <w:suppressAutoHyphens/>
      <w:spacing w:before="240" w:line="288" w:lineRule="exact"/>
      <w:jc w:val="left"/>
      <w:outlineLvl w:val="1"/>
    </w:pPr>
    <w:rPr>
      <w:rFonts w:ascii="Calibri" w:eastAsia="Times New Roman" w:hAnsi="Calibri" w:cs="Arial"/>
      <w:bCs/>
      <w:iCs/>
      <w:sz w:val="26"/>
      <w:szCs w:val="28"/>
      <w:lang w:eastAsia="da-DK"/>
    </w:rPr>
  </w:style>
  <w:style w:type="paragraph" w:styleId="Overskrift3">
    <w:name w:val="heading 3"/>
    <w:basedOn w:val="Normal"/>
    <w:next w:val="Normal"/>
    <w:link w:val="Overskrift3Tegn"/>
    <w:qFormat/>
    <w:rsid w:val="009959AA"/>
    <w:pPr>
      <w:keepNext/>
      <w:spacing w:before="240" w:after="60" w:line="288" w:lineRule="exact"/>
      <w:jc w:val="left"/>
      <w:outlineLvl w:val="2"/>
    </w:pPr>
    <w:rPr>
      <w:rFonts w:ascii="Calibri" w:eastAsia="Times New Roman" w:hAnsi="Calibri" w:cs="Arial"/>
      <w:bCs/>
      <w:sz w:val="22"/>
      <w:szCs w:val="26"/>
      <w:lang w:eastAsia="da-DK"/>
    </w:rPr>
  </w:style>
  <w:style w:type="paragraph" w:styleId="Overskrift4">
    <w:name w:val="heading 4"/>
    <w:basedOn w:val="Normal"/>
    <w:next w:val="Normal"/>
    <w:link w:val="Overskrift4Tegn"/>
    <w:qFormat/>
    <w:rsid w:val="000614B4"/>
    <w:pPr>
      <w:keepLines/>
      <w:suppressAutoHyphens/>
      <w:spacing w:line="288" w:lineRule="exact"/>
      <w:outlineLvl w:val="3"/>
    </w:pPr>
    <w:rPr>
      <w:rFonts w:eastAsia="Times New Roman" w:cs="Times New Roman"/>
      <w:bCs/>
      <w:i/>
      <w:szCs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959AA"/>
    <w:rPr>
      <w:rFonts w:ascii="Calibri" w:eastAsia="Times New Roman" w:hAnsi="Calibri" w:cs="Arial"/>
      <w:bCs/>
      <w:sz w:val="32"/>
      <w:szCs w:val="32"/>
      <w:lang w:eastAsia="da-DK"/>
    </w:rPr>
  </w:style>
  <w:style w:type="character" w:customStyle="1" w:styleId="Overskrift2Tegn">
    <w:name w:val="Overskrift 2 Tegn"/>
    <w:basedOn w:val="Standardskrifttypeiafsnit"/>
    <w:link w:val="Overskrift2"/>
    <w:rsid w:val="009959AA"/>
    <w:rPr>
      <w:rFonts w:ascii="Calibri" w:eastAsia="Times New Roman" w:hAnsi="Calibri" w:cs="Arial"/>
      <w:bCs/>
      <w:iCs/>
      <w:sz w:val="26"/>
      <w:szCs w:val="28"/>
      <w:lang w:eastAsia="da-DK"/>
    </w:rPr>
  </w:style>
  <w:style w:type="character" w:customStyle="1" w:styleId="Overskrift3Tegn">
    <w:name w:val="Overskrift 3 Tegn"/>
    <w:basedOn w:val="Standardskrifttypeiafsnit"/>
    <w:link w:val="Overskrift3"/>
    <w:rsid w:val="009959AA"/>
    <w:rPr>
      <w:rFonts w:ascii="Calibri" w:eastAsia="Times New Roman" w:hAnsi="Calibri" w:cs="Arial"/>
      <w:bCs/>
      <w:szCs w:val="26"/>
      <w:lang w:eastAsia="da-DK"/>
    </w:rPr>
  </w:style>
  <w:style w:type="character" w:customStyle="1" w:styleId="Overskrift4Tegn">
    <w:name w:val="Overskrift 4 Tegn"/>
    <w:basedOn w:val="Standardskrifttypeiafsnit"/>
    <w:link w:val="Overskrift4"/>
    <w:rsid w:val="000614B4"/>
    <w:rPr>
      <w:rFonts w:ascii="Times New Roman" w:eastAsia="Times New Roman" w:hAnsi="Times New Roman" w:cs="Times New Roman"/>
      <w:bCs/>
      <w:i/>
      <w:sz w:val="24"/>
      <w:szCs w:val="28"/>
      <w:lang w:eastAsia="da-DK"/>
    </w:rPr>
  </w:style>
  <w:style w:type="paragraph" w:styleId="Markeringsbobletekst">
    <w:name w:val="Balloon Text"/>
    <w:basedOn w:val="Normal"/>
    <w:link w:val="MarkeringsbobletekstTegn"/>
    <w:uiPriority w:val="99"/>
    <w:semiHidden/>
    <w:unhideWhenUsed/>
    <w:rsid w:val="004E74A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4AA"/>
    <w:rPr>
      <w:rFonts w:ascii="Tahoma" w:hAnsi="Tahoma" w:cs="Tahoma"/>
      <w:sz w:val="16"/>
      <w:szCs w:val="16"/>
    </w:rPr>
  </w:style>
  <w:style w:type="paragraph" w:styleId="Sidehoved">
    <w:name w:val="header"/>
    <w:basedOn w:val="Normal"/>
    <w:link w:val="SidehovedTegn"/>
    <w:unhideWhenUsed/>
    <w:rsid w:val="00431D4B"/>
    <w:pPr>
      <w:tabs>
        <w:tab w:val="center" w:pos="4819"/>
        <w:tab w:val="right" w:pos="9638"/>
      </w:tabs>
    </w:pPr>
  </w:style>
  <w:style w:type="character" w:customStyle="1" w:styleId="SidehovedTegn">
    <w:name w:val="Sidehoved Tegn"/>
    <w:basedOn w:val="Standardskrifttypeiafsnit"/>
    <w:link w:val="Sidehoved"/>
    <w:uiPriority w:val="99"/>
    <w:rsid w:val="00431D4B"/>
    <w:rPr>
      <w:rFonts w:ascii="Times New Roman" w:hAnsi="Times New Roman"/>
      <w:sz w:val="24"/>
    </w:rPr>
  </w:style>
  <w:style w:type="paragraph" w:styleId="Sidefod">
    <w:name w:val="footer"/>
    <w:basedOn w:val="Normal"/>
    <w:link w:val="SidefodTegn"/>
    <w:uiPriority w:val="99"/>
    <w:unhideWhenUsed/>
    <w:rsid w:val="00431D4B"/>
    <w:pPr>
      <w:tabs>
        <w:tab w:val="center" w:pos="4819"/>
        <w:tab w:val="right" w:pos="9638"/>
      </w:tabs>
    </w:pPr>
  </w:style>
  <w:style w:type="character" w:customStyle="1" w:styleId="SidefodTegn">
    <w:name w:val="Sidefod Tegn"/>
    <w:basedOn w:val="Standardskrifttypeiafsnit"/>
    <w:link w:val="Sidefod"/>
    <w:uiPriority w:val="99"/>
    <w:rsid w:val="00431D4B"/>
    <w:rPr>
      <w:rFonts w:ascii="Times New Roman" w:hAnsi="Times New Roman"/>
      <w:sz w:val="24"/>
    </w:rPr>
  </w:style>
  <w:style w:type="character" w:styleId="Pladsholdertekst">
    <w:name w:val="Placeholder Text"/>
    <w:basedOn w:val="Standardskrifttypeiafsnit"/>
    <w:uiPriority w:val="99"/>
    <w:semiHidden/>
    <w:rsid w:val="00F333CA"/>
    <w:rPr>
      <w:color w:val="808080"/>
    </w:rPr>
  </w:style>
  <w:style w:type="table" w:styleId="Tabel-Gitter">
    <w:name w:val="Table Grid"/>
    <w:basedOn w:val="Tabel-Normal"/>
    <w:uiPriority w:val="59"/>
    <w:rsid w:val="0098012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artementtekst">
    <w:name w:val="Departement tekst"/>
    <w:rsid w:val="00596D81"/>
    <w:pPr>
      <w:spacing w:after="130" w:line="240" w:lineRule="auto"/>
    </w:pPr>
    <w:rPr>
      <w:rFonts w:ascii="Verdana" w:eastAsia="Times New Roman" w:hAnsi="Verdana" w:cs="Times New Roman"/>
      <w:sz w:val="17"/>
      <w:szCs w:val="24"/>
      <w:lang w:eastAsia="da-DK"/>
    </w:rPr>
  </w:style>
  <w:style w:type="character" w:styleId="Hyperlink">
    <w:name w:val="Hyperlink"/>
    <w:basedOn w:val="Standardskrifttypeiafsnit"/>
    <w:uiPriority w:val="99"/>
    <w:unhideWhenUsed/>
    <w:rsid w:val="00481547"/>
    <w:rPr>
      <w:color w:val="0000FF" w:themeColor="hyperlink"/>
      <w:u w:val="single"/>
    </w:rPr>
  </w:style>
  <w:style w:type="paragraph" w:styleId="Listeafsnit">
    <w:name w:val="List Paragraph"/>
    <w:basedOn w:val="Normal"/>
    <w:uiPriority w:val="34"/>
    <w:qFormat/>
    <w:rsid w:val="009D3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9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9080\Desktop\Til%20Captia%202013-07-03\FT%20h&#248;ringsskema.dotx" TargetMode="External"/></Relationships>
</file>

<file path=word/theme/theme1.xml><?xml version="1.0" encoding="utf-8"?>
<a:theme xmlns:a="http://schemas.openxmlformats.org/drawingml/2006/main" name="skm">
  <a:themeElements>
    <a:clrScheme name="Skm">
      <a:dk1>
        <a:srgbClr val="000000"/>
      </a:dk1>
      <a:lt1>
        <a:srgbClr val="FFFFFF"/>
      </a:lt1>
      <a:dk2>
        <a:srgbClr val="57788E"/>
      </a:dk2>
      <a:lt2>
        <a:srgbClr val="C0C0C0"/>
      </a:lt2>
      <a:accent1>
        <a:srgbClr val="000D2F"/>
      </a:accent1>
      <a:accent2>
        <a:srgbClr val="57788E"/>
      </a:accent2>
      <a:accent3>
        <a:srgbClr val="88A7B7"/>
      </a:accent3>
      <a:accent4>
        <a:srgbClr val="BBCFD5"/>
      </a:accent4>
      <a:accent5>
        <a:srgbClr val="99252C"/>
      </a:accent5>
      <a:accent6>
        <a:srgbClr val="777777"/>
      </a:accent6>
      <a:hlink>
        <a:srgbClr val="0000FF"/>
      </a:hlink>
      <a:folHlink>
        <a:srgbClr val="800080"/>
      </a:folHlink>
    </a:clrScheme>
    <a:fontScheme name="Skm">
      <a:majorFont>
        <a:latin typeface="Calibri"/>
        <a:ea typeface=""/>
        <a:cs typeface=""/>
      </a:majorFont>
      <a:minorFont>
        <a:latin typeface="Garamond"/>
        <a:ea typeface=""/>
        <a:cs typeface=""/>
      </a:minorFont>
    </a:fontScheme>
    <a:fmtScheme name="Horis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7FFB-259D-44C0-97C1-9606E427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FT høringsskema</Template>
  <TotalTime>84</TotalTime>
  <Pages>1</Pages>
  <Words>506</Words>
  <Characters>3091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FT høringsskema</vt:lpstr>
    </vt:vector>
  </TitlesOfParts>
  <Company>Skatteministeriet</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 høringsskema</dc:title>
  <dc:creator/>
  <cp:lastModifiedBy>Helene Skovsted</cp:lastModifiedBy>
  <cp:revision>12</cp:revision>
  <cp:lastPrinted>2013-12-05T13:40:00Z</cp:lastPrinted>
  <dcterms:created xsi:type="dcterms:W3CDTF">2013-12-05T11:48:00Z</dcterms:created>
  <dcterms:modified xsi:type="dcterms:W3CDTF">2013-12-05T15:04:00Z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C:\Users\w17752\AppData\Local\Temp\Scanjour\Captia\SJ20131205134009145 [DOK29625757].DOCX</vt:lpwstr>
  </property>
  <property fmtid="{D5CDD505-2E9C-101B-9397-08002B2CF9AE}" pid="3" name="title">
    <vt:lpwstr>L 80 - høringsskema 3 (DOK29625757)</vt:lpwstr>
  </property>
  <property fmtid="{D5CDD505-2E9C-101B-9397-08002B2CF9AE}" pid="4" name="command">
    <vt:lpwstr/>
  </property>
</Properties>
</file>